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E811" w14:textId="77777777" w:rsidR="009B14DA" w:rsidRPr="009B14DA" w:rsidRDefault="009B14DA" w:rsidP="009B1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9B14DA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3E1EF183" wp14:editId="442410E5">
            <wp:simplePos x="0" y="0"/>
            <wp:positionH relativeFrom="margin">
              <wp:posOffset>3947795</wp:posOffset>
            </wp:positionH>
            <wp:positionV relativeFrom="paragraph">
              <wp:posOffset>173355</wp:posOffset>
            </wp:positionV>
            <wp:extent cx="1992630" cy="711835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AB9C7" w14:textId="77777777" w:rsidR="009B14DA" w:rsidRPr="009B14DA" w:rsidRDefault="009B14DA" w:rsidP="009B14DA">
      <w:pPr>
        <w:spacing w:after="160" w:line="259" w:lineRule="auto"/>
        <w:rPr>
          <w:rFonts w:ascii="Montserrat" w:eastAsiaTheme="minorHAnsi" w:hAnsi="Montserrat" w:cstheme="minorBidi"/>
          <w:noProof/>
          <w:color w:val="001A70"/>
          <w:sz w:val="16"/>
          <w:szCs w:val="16"/>
        </w:rPr>
      </w:pPr>
      <w:bookmarkStart w:id="0" w:name="_Hlk190683754"/>
      <w:bookmarkStart w:id="1" w:name="_Hlk112951056"/>
      <w:r w:rsidRPr="009B14DA">
        <w:rPr>
          <w:rFonts w:ascii="Montserrat" w:eastAsiaTheme="minorHAnsi" w:hAnsi="Montserrat" w:cstheme="minorBidi"/>
          <w:noProof/>
          <w:color w:val="001A70"/>
          <w:sz w:val="16"/>
          <w:szCs w:val="16"/>
        </w:rPr>
        <w:drawing>
          <wp:inline distT="0" distB="0" distL="0" distR="0" wp14:anchorId="36A90705" wp14:editId="0D7F1EE4">
            <wp:extent cx="30384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29665" b="3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91373047"/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14DA" w:rsidRPr="009B14DA" w14:paraId="3F4B12D9" w14:textId="77777777" w:rsidTr="00D84EE5">
        <w:tc>
          <w:tcPr>
            <w:tcW w:w="9345" w:type="dxa"/>
            <w:shd w:val="clear" w:color="auto" w:fill="auto"/>
          </w:tcPr>
          <w:p w14:paraId="55B5ECD2" w14:textId="77777777" w:rsidR="009B14DA" w:rsidRPr="009B14DA" w:rsidRDefault="009B14DA" w:rsidP="009B1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  <w:bookmarkStart w:id="3" w:name="_Hlk190683790"/>
            <w:bookmarkEnd w:id="0"/>
            <w:bookmarkEnd w:id="2"/>
          </w:p>
        </w:tc>
      </w:tr>
      <w:bookmarkEnd w:id="1"/>
      <w:bookmarkEnd w:id="3"/>
    </w:tbl>
    <w:p w14:paraId="229E5346" w14:textId="77777777" w:rsidR="009B14DA" w:rsidRDefault="009B14DA" w:rsidP="009B14D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D5A5F9F" w14:textId="77FF9259" w:rsidR="0037600F" w:rsidRPr="009B14DA" w:rsidRDefault="00EA7B3F" w:rsidP="00892D1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B14DA">
        <w:rPr>
          <w:rFonts w:ascii="Times New Roman" w:hAnsi="Times New Roman"/>
          <w:b/>
        </w:rPr>
        <w:t xml:space="preserve">ТЕХНИЧЕСКОЕ ЗАДАНИЕ </w:t>
      </w:r>
    </w:p>
    <w:p w14:paraId="0B3CD827" w14:textId="0E0FA318" w:rsidR="0037600F" w:rsidRPr="009B14DA" w:rsidRDefault="001E32E4" w:rsidP="00892D1C">
      <w:pPr>
        <w:spacing w:after="0" w:line="240" w:lineRule="auto"/>
        <w:contextualSpacing/>
        <w:jc w:val="center"/>
        <w:rPr>
          <w:rFonts w:ascii="Times New Roman" w:hAnsi="Times New Roman"/>
          <w:b/>
          <w:caps/>
        </w:rPr>
      </w:pPr>
      <w:r w:rsidRPr="009B14DA">
        <w:rPr>
          <w:rFonts w:ascii="Times New Roman" w:hAnsi="Times New Roman"/>
          <w:b/>
          <w:caps/>
        </w:rPr>
        <w:t>По Оценке вклада НКО в развитие стран Центральной Азии</w:t>
      </w:r>
      <w:r w:rsidR="00513ACA" w:rsidRPr="009B14DA">
        <w:rPr>
          <w:rFonts w:ascii="Times New Roman" w:hAnsi="Times New Roman"/>
          <w:b/>
          <w:caps/>
        </w:rPr>
        <w:t xml:space="preserve"> </w:t>
      </w:r>
    </w:p>
    <w:p w14:paraId="0ADF5787" w14:textId="77777777" w:rsidR="00513ACA" w:rsidRPr="009B14DA" w:rsidRDefault="00513ACA" w:rsidP="00892D1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3CF6FB" w14:textId="77777777" w:rsidR="00EA7B3F" w:rsidRPr="009B14DA" w:rsidRDefault="00EA7B3F" w:rsidP="00292908">
      <w:pPr>
        <w:shd w:val="clear" w:color="auto" w:fill="002060"/>
        <w:tabs>
          <w:tab w:val="left" w:pos="0"/>
        </w:tabs>
        <w:spacing w:line="240" w:lineRule="auto"/>
        <w:jc w:val="both"/>
        <w:rPr>
          <w:rFonts w:ascii="Times New Roman" w:hAnsi="Times New Roman"/>
          <w:b/>
        </w:rPr>
      </w:pPr>
      <w:r w:rsidRPr="009B14DA">
        <w:rPr>
          <w:rFonts w:ascii="Times New Roman" w:hAnsi="Times New Roman"/>
          <w:b/>
        </w:rPr>
        <w:t>Предпосылки</w:t>
      </w:r>
    </w:p>
    <w:p w14:paraId="4E75909E" w14:textId="367C6F67" w:rsidR="006F5E24" w:rsidRPr="009B14DA" w:rsidRDefault="006F5E24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Общественное объединение «Институт политики развития» (далее – ИПР), в соответствии с соглашением с </w:t>
      </w:r>
      <w:r w:rsidRPr="009B14DA">
        <w:rPr>
          <w:rFonts w:ascii="Times New Roman" w:hAnsi="Times New Roman"/>
          <w:lang w:val="en-US"/>
        </w:rPr>
        <w:t>FCDO</w:t>
      </w:r>
      <w:r w:rsidRPr="009B14DA">
        <w:rPr>
          <w:rFonts w:ascii="Times New Roman" w:hAnsi="Times New Roman"/>
        </w:rPr>
        <w:t>, реализует Программу «Эффективное управление для экономического развития» (далее – EGED). EGED – это программа Министерства иностранных дел по делам Содружества и развития Великобритании (FCDO), реализуемая с 2020-2025 гг. В Кыргызстане, Таджикистане</w:t>
      </w:r>
      <w:r w:rsidR="00286676" w:rsidRPr="009B14DA">
        <w:rPr>
          <w:rFonts w:ascii="Times New Roman" w:hAnsi="Times New Roman"/>
        </w:rPr>
        <w:t xml:space="preserve">, </w:t>
      </w:r>
      <w:r w:rsidRPr="009B14DA">
        <w:rPr>
          <w:rFonts w:ascii="Times New Roman" w:hAnsi="Times New Roman"/>
        </w:rPr>
        <w:t>Узбекистане</w:t>
      </w:r>
      <w:r w:rsidR="00286676" w:rsidRPr="009B14DA">
        <w:rPr>
          <w:rFonts w:ascii="Times New Roman" w:hAnsi="Times New Roman"/>
        </w:rPr>
        <w:t xml:space="preserve"> и Казахстане</w:t>
      </w:r>
      <w:r w:rsidRPr="009B14DA">
        <w:rPr>
          <w:rFonts w:ascii="Times New Roman" w:hAnsi="Times New Roman"/>
        </w:rPr>
        <w:t xml:space="preserve"> с целью повышения эффективности, подотчетности и прозрачности реализации экономической политики в сфере экономики и избранных приоритетами реформ. </w:t>
      </w:r>
    </w:p>
    <w:p w14:paraId="0F39E82D" w14:textId="55B5EC4C" w:rsidR="006F5E24" w:rsidRPr="009B14DA" w:rsidRDefault="006F5E24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Компонент 2 «Усиление прозрачности и подотчетности экономической политики» </w:t>
      </w:r>
      <w:r w:rsidR="00286676" w:rsidRPr="009B14DA">
        <w:rPr>
          <w:rFonts w:ascii="Times New Roman" w:hAnsi="Times New Roman"/>
        </w:rPr>
        <w:t>реализуется ИПР с 2024 года</w:t>
      </w:r>
      <w:r w:rsidRPr="009B14DA">
        <w:rPr>
          <w:rFonts w:ascii="Times New Roman" w:hAnsi="Times New Roman"/>
        </w:rPr>
        <w:t xml:space="preserve">, цель которого заключается в содействии </w:t>
      </w:r>
      <w:r w:rsidR="00BC68FA" w:rsidRPr="009B14DA">
        <w:rPr>
          <w:rFonts w:ascii="Times New Roman" w:hAnsi="Times New Roman"/>
        </w:rPr>
        <w:t>экономическому развитию</w:t>
      </w:r>
      <w:r w:rsidRPr="009B14DA">
        <w:rPr>
          <w:rFonts w:ascii="Times New Roman" w:hAnsi="Times New Roman"/>
        </w:rPr>
        <w:t xml:space="preserve"> </w:t>
      </w:r>
      <w:r w:rsidR="00286676" w:rsidRPr="009B14DA">
        <w:rPr>
          <w:rFonts w:ascii="Times New Roman" w:hAnsi="Times New Roman"/>
        </w:rPr>
        <w:t>путем эффективного</w:t>
      </w:r>
      <w:r w:rsidRPr="009B14DA">
        <w:rPr>
          <w:rFonts w:ascii="Times New Roman" w:hAnsi="Times New Roman"/>
        </w:rPr>
        <w:t xml:space="preserve"> планирования и управления на основе данных</w:t>
      </w:r>
      <w:r w:rsidR="00286676" w:rsidRPr="009B14DA">
        <w:rPr>
          <w:rFonts w:ascii="Times New Roman" w:hAnsi="Times New Roman"/>
        </w:rPr>
        <w:t xml:space="preserve">, а также поиска возможностей для привлечения инвестиций в регионы.  </w:t>
      </w:r>
    </w:p>
    <w:p w14:paraId="3B8CB39B" w14:textId="0C80D49D" w:rsidR="006F5E24" w:rsidRPr="009B14DA" w:rsidRDefault="00286676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>На период с 2025 по 2026</w:t>
      </w:r>
      <w:r w:rsidR="00892D1C" w:rsidRPr="009B14DA">
        <w:rPr>
          <w:rFonts w:ascii="Times New Roman" w:hAnsi="Times New Roman"/>
        </w:rPr>
        <w:t xml:space="preserve"> </w:t>
      </w:r>
      <w:r w:rsidRPr="009B14DA">
        <w:rPr>
          <w:rFonts w:ascii="Times New Roman" w:hAnsi="Times New Roman"/>
        </w:rPr>
        <w:t xml:space="preserve">гг. </w:t>
      </w:r>
      <w:r w:rsidR="00892D1C" w:rsidRPr="009B14DA">
        <w:rPr>
          <w:rFonts w:ascii="Times New Roman" w:hAnsi="Times New Roman"/>
        </w:rPr>
        <w:t xml:space="preserve">роль </w:t>
      </w:r>
      <w:r w:rsidR="006F5E24" w:rsidRPr="009B14DA">
        <w:rPr>
          <w:rFonts w:ascii="Times New Roman" w:hAnsi="Times New Roman"/>
        </w:rPr>
        <w:t xml:space="preserve">ИПР заключается в выполнении </w:t>
      </w:r>
      <w:r w:rsidRPr="009B14DA">
        <w:rPr>
          <w:rFonts w:ascii="Times New Roman" w:hAnsi="Times New Roman"/>
        </w:rPr>
        <w:t>нескольких</w:t>
      </w:r>
      <w:r w:rsidR="006F5E24" w:rsidRPr="009B14DA">
        <w:rPr>
          <w:rFonts w:ascii="Times New Roman" w:hAnsi="Times New Roman"/>
        </w:rPr>
        <w:t xml:space="preserve"> задач / подцелей</w:t>
      </w:r>
      <w:r w:rsidRPr="009B14DA">
        <w:rPr>
          <w:rFonts w:ascii="Times New Roman" w:hAnsi="Times New Roman"/>
        </w:rPr>
        <w:t xml:space="preserve">, одной из которых является </w:t>
      </w:r>
      <w:r w:rsidR="005A7991" w:rsidRPr="009B14DA">
        <w:rPr>
          <w:rFonts w:ascii="Times New Roman" w:hAnsi="Times New Roman"/>
          <w:b/>
          <w:bCs/>
        </w:rPr>
        <w:t>Задача 1. Улучшение инвестиционной среды</w:t>
      </w:r>
      <w:r w:rsidRPr="009B14DA">
        <w:rPr>
          <w:rFonts w:ascii="Times New Roman" w:hAnsi="Times New Roman"/>
          <w:b/>
          <w:bCs/>
        </w:rPr>
        <w:t>.</w:t>
      </w:r>
      <w:r w:rsidRPr="009B14DA">
        <w:rPr>
          <w:rFonts w:ascii="Times New Roman" w:hAnsi="Times New Roman"/>
        </w:rPr>
        <w:t xml:space="preserve"> </w:t>
      </w:r>
    </w:p>
    <w:p w14:paraId="3EAC6724" w14:textId="19367D7D" w:rsidR="00892D1C" w:rsidRPr="009B14DA" w:rsidRDefault="005A7991" w:rsidP="005348DD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bookmarkStart w:id="4" w:name="_Hlk204152047"/>
      <w:r w:rsidRPr="009B14DA">
        <w:rPr>
          <w:rFonts w:ascii="Times New Roman" w:hAnsi="Times New Roman"/>
        </w:rPr>
        <w:t>Одним из результатов реализации данной задачи должно стать улучшение позиций стран Центральной Азии в международных рейтингах за счет улучшения отношений между правительством и гражданским обществом.</w:t>
      </w:r>
      <w:r w:rsidR="005348DD" w:rsidRPr="009B14DA">
        <w:rPr>
          <w:rFonts w:ascii="Times New Roman" w:hAnsi="Times New Roman"/>
        </w:rPr>
        <w:t xml:space="preserve"> </w:t>
      </w:r>
      <w:r w:rsidRPr="009B14DA">
        <w:rPr>
          <w:rFonts w:ascii="Times New Roman" w:hAnsi="Times New Roman"/>
        </w:rPr>
        <w:t xml:space="preserve">В рамках этой задачи будет проведена работа по </w:t>
      </w:r>
      <w:r w:rsidR="005348DD" w:rsidRPr="009B14DA">
        <w:rPr>
          <w:rFonts w:ascii="Times New Roman" w:hAnsi="Times New Roman"/>
        </w:rPr>
        <w:t>оценке вклада</w:t>
      </w:r>
      <w:r w:rsidRPr="009B14DA">
        <w:rPr>
          <w:rFonts w:ascii="Times New Roman" w:hAnsi="Times New Roman"/>
        </w:rPr>
        <w:t xml:space="preserve"> гражданского общества как необходимого элемента развития, экономического роста и формирования инвестиционного имиджа стран Центральной Азии.</w:t>
      </w:r>
    </w:p>
    <w:bookmarkEnd w:id="4"/>
    <w:p w14:paraId="6A3F72B3" w14:textId="77777777" w:rsidR="005A7991" w:rsidRPr="009B14DA" w:rsidRDefault="005A7991" w:rsidP="005A7991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>НКО выполняет ряд функций, которые приводят к улучшению инвестиционной среды в стране, а именно:</w:t>
      </w:r>
    </w:p>
    <w:p w14:paraId="5A4ABB5A" w14:textId="3B75928C" w:rsidR="005A7991" w:rsidRPr="009B14DA" w:rsidRDefault="005A7991" w:rsidP="005A799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>Повышение прозрачности и подотчётности: НКО и СМИ могут отслеживать действия государственных органов и бизнеса, выявлять коррупцию и нарушения, что повышает доверие инвесторов.</w:t>
      </w:r>
    </w:p>
    <w:p w14:paraId="7CB6B952" w14:textId="77777777" w:rsidR="000414B9" w:rsidRPr="009B14DA" w:rsidRDefault="005A7991" w:rsidP="005A799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Защита инвесторов: НПО могут выступать за укрепление верховенства закона, защиту прав собственности и соблюдение договорных обязательств, что является важным фактором для инвесторов. </w:t>
      </w:r>
    </w:p>
    <w:p w14:paraId="000245C4" w14:textId="3C28F9D3" w:rsidR="005A7991" w:rsidRPr="009B14DA" w:rsidRDefault="005A7991" w:rsidP="005A799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>Политическая стабильность: активное участие гражданского общества в политическом процессе может способствовать демократизации и укреплению стабильности</w:t>
      </w:r>
      <w:r w:rsidR="000414B9" w:rsidRPr="009B14DA">
        <w:rPr>
          <w:rFonts w:ascii="Times New Roman" w:hAnsi="Times New Roman"/>
        </w:rPr>
        <w:t>.</w:t>
      </w:r>
    </w:p>
    <w:p w14:paraId="023EA61C" w14:textId="4E4412AB" w:rsidR="003F6CFD" w:rsidRPr="009B14DA" w:rsidRDefault="005A7991" w:rsidP="005A799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Социальная ответственность бизнеса: гражданское общество может </w:t>
      </w:r>
      <w:r w:rsidR="005348DD" w:rsidRPr="009B14DA">
        <w:rPr>
          <w:rFonts w:ascii="Times New Roman" w:hAnsi="Times New Roman"/>
        </w:rPr>
        <w:t>взаимодействовать с бизнесом</w:t>
      </w:r>
      <w:r w:rsidRPr="009B14DA">
        <w:rPr>
          <w:rFonts w:ascii="Times New Roman" w:hAnsi="Times New Roman"/>
        </w:rPr>
        <w:t>, требуя от него соблюдения экологических и социальных стандартов</w:t>
      </w:r>
      <w:r w:rsidR="000414B9" w:rsidRPr="009B14DA">
        <w:rPr>
          <w:rFonts w:ascii="Times New Roman" w:hAnsi="Times New Roman"/>
        </w:rPr>
        <w:t>.</w:t>
      </w:r>
    </w:p>
    <w:p w14:paraId="2A14C222" w14:textId="248D1246" w:rsidR="000414B9" w:rsidRPr="009B14DA" w:rsidRDefault="000414B9" w:rsidP="000414B9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Исследования последних лет показали, что вклад гражданского общества в устойчивое развитие не очевиден. Поэтому существует необходимость в оценке вклада гражданского общества, чтобы продемонстрировать общественности и государственным институтам виды и формы этого вклада. Такая оценка вклада ОГО в развитие своих стран на уровне региона Центральной Азии не только даст более четкое понимание важности сектора, но и позволит государству и частному сектору увереннее опираться на ОГО как на партнеров в решении многих социальных и экономических проблем, более эффективно используя творческий потенциал гражданских организаций. </w:t>
      </w:r>
    </w:p>
    <w:p w14:paraId="4EE43FC0" w14:textId="2BB82510" w:rsidR="000414B9" w:rsidRDefault="005348DD" w:rsidP="000414B9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>Первым этапом оценки</w:t>
      </w:r>
      <w:r w:rsidR="000414B9" w:rsidRPr="009B14DA">
        <w:rPr>
          <w:rFonts w:ascii="Times New Roman" w:hAnsi="Times New Roman"/>
        </w:rPr>
        <w:t xml:space="preserve"> вклада НКО </w:t>
      </w:r>
      <w:r w:rsidRPr="009B14DA">
        <w:rPr>
          <w:rFonts w:ascii="Times New Roman" w:hAnsi="Times New Roman"/>
        </w:rPr>
        <w:t xml:space="preserve">является доработка существующей методологии для применения ее в 4 странах Центральной Азии (Казахстан, Кыргызстан, Таджикистан, Узбекистан). </w:t>
      </w:r>
      <w:r w:rsidR="000414B9" w:rsidRPr="009B14DA">
        <w:rPr>
          <w:rFonts w:ascii="Times New Roman" w:hAnsi="Times New Roman"/>
        </w:rPr>
        <w:t>ИПР объявляет конкурс</w:t>
      </w:r>
      <w:r w:rsidRPr="009B14DA">
        <w:rPr>
          <w:rFonts w:ascii="Times New Roman" w:hAnsi="Times New Roman"/>
        </w:rPr>
        <w:t>, чтобы привлечь квалифицированного эксперта для доработки методологии</w:t>
      </w:r>
      <w:r w:rsidR="000414B9" w:rsidRPr="009B14DA">
        <w:rPr>
          <w:rFonts w:ascii="Times New Roman" w:hAnsi="Times New Roman"/>
        </w:rPr>
        <w:t xml:space="preserve">. </w:t>
      </w:r>
    </w:p>
    <w:p w14:paraId="52729AFF" w14:textId="77777777" w:rsidR="009B14DA" w:rsidRPr="009B14DA" w:rsidRDefault="009B14DA" w:rsidP="000414B9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</w:p>
    <w:p w14:paraId="0621EF81" w14:textId="77777777" w:rsidR="003F6CFD" w:rsidRPr="009B14DA" w:rsidRDefault="003F6CFD" w:rsidP="00892D1C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</w:p>
    <w:p w14:paraId="29D5438F" w14:textId="77777777" w:rsidR="0037600F" w:rsidRPr="009B14DA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lastRenderedPageBreak/>
        <w:t>Цель настоящего технического задания</w:t>
      </w:r>
    </w:p>
    <w:p w14:paraId="6327339F" w14:textId="77777777" w:rsidR="005348DD" w:rsidRPr="009B14DA" w:rsidRDefault="0037600F" w:rsidP="00292908">
      <w:pPr>
        <w:tabs>
          <w:tab w:val="left" w:pos="1533"/>
        </w:tabs>
        <w:spacing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br/>
      </w:r>
      <w:r w:rsidR="005348DD" w:rsidRPr="009B14DA">
        <w:rPr>
          <w:rFonts w:ascii="Times New Roman" w:hAnsi="Times New Roman"/>
        </w:rPr>
        <w:t>На основе имеющихся исследований доработать методологию проведения исследования и сбора информации для оценки вклада НКО.</w:t>
      </w:r>
    </w:p>
    <w:p w14:paraId="50295592" w14:textId="16F1BA26" w:rsidR="00EA7B3F" w:rsidRPr="009B14DA" w:rsidRDefault="00ED548B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t>Объем работ и график</w:t>
      </w:r>
    </w:p>
    <w:p w14:paraId="48865EDC" w14:textId="3D567BCA" w:rsidR="0073339A" w:rsidRPr="009B14DA" w:rsidRDefault="00B1144B" w:rsidP="00292908">
      <w:pPr>
        <w:tabs>
          <w:tab w:val="left" w:pos="1533"/>
        </w:tabs>
        <w:spacing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br/>
        <w:t xml:space="preserve">Указанный объем работ является предварительным и может обсуждаться с </w:t>
      </w:r>
      <w:r w:rsidR="005348DD" w:rsidRPr="009B14DA">
        <w:rPr>
          <w:rFonts w:ascii="Times New Roman" w:hAnsi="Times New Roman"/>
        </w:rPr>
        <w:t>исполнителем</w:t>
      </w:r>
      <w:r w:rsidR="006D2C11" w:rsidRPr="009B14DA">
        <w:rPr>
          <w:rFonts w:ascii="Times New Roman" w:hAnsi="Times New Roman"/>
        </w:rPr>
        <w:t xml:space="preserve">. 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53"/>
        <w:gridCol w:w="4929"/>
        <w:gridCol w:w="2268"/>
        <w:gridCol w:w="1695"/>
      </w:tblGrid>
      <w:tr w:rsidR="00ED548B" w:rsidRPr="009B14DA" w14:paraId="247EE73D" w14:textId="7D6BF2F9" w:rsidTr="007A15B1">
        <w:trPr>
          <w:trHeight w:val="254"/>
        </w:trPr>
        <w:tc>
          <w:tcPr>
            <w:tcW w:w="453" w:type="dxa"/>
            <w:shd w:val="clear" w:color="auto" w:fill="D9D9D9" w:themeFill="background1" w:themeFillShade="D9"/>
          </w:tcPr>
          <w:p w14:paraId="1C412C18" w14:textId="48DD9525" w:rsidR="00ED548B" w:rsidRPr="009B14DA" w:rsidRDefault="00ED548B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9B14DA">
              <w:rPr>
                <w:rFonts w:ascii="Times New Roman" w:eastAsia="Microsoft YaHei UI Light" w:hAnsi="Times New Roman"/>
                <w:b/>
                <w:bCs/>
              </w:rPr>
              <w:t>№</w:t>
            </w:r>
          </w:p>
        </w:tc>
        <w:tc>
          <w:tcPr>
            <w:tcW w:w="4929" w:type="dxa"/>
            <w:shd w:val="clear" w:color="auto" w:fill="D9D9D9" w:themeFill="background1" w:themeFillShade="D9"/>
          </w:tcPr>
          <w:p w14:paraId="0B455AA1" w14:textId="3F351CF4" w:rsidR="00ED548B" w:rsidRPr="009B14DA" w:rsidRDefault="00ED548B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9B14DA">
              <w:rPr>
                <w:rFonts w:ascii="Times New Roman" w:eastAsia="Microsoft YaHei UI Light" w:hAnsi="Times New Roman"/>
                <w:b/>
                <w:bCs/>
              </w:rPr>
              <w:t>Услуга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B29805" w14:textId="459094C4" w:rsidR="00ED548B" w:rsidRPr="009B14DA" w:rsidRDefault="00ED548B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9B14DA">
              <w:rPr>
                <w:rFonts w:ascii="Times New Roman" w:eastAsia="Microsoft YaHei UI Light" w:hAnsi="Times New Roman"/>
                <w:b/>
                <w:bCs/>
              </w:rPr>
              <w:t>Продукт / результат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155418E" w14:textId="69EE9F0E" w:rsidR="00ED548B" w:rsidRPr="009B14DA" w:rsidRDefault="00ED548B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9B14DA">
              <w:rPr>
                <w:rFonts w:ascii="Times New Roman" w:eastAsia="Microsoft YaHei UI Light" w:hAnsi="Times New Roman"/>
                <w:b/>
                <w:bCs/>
              </w:rPr>
              <w:t xml:space="preserve">Дата выполнения </w:t>
            </w:r>
          </w:p>
        </w:tc>
      </w:tr>
      <w:tr w:rsidR="00ED548B" w:rsidRPr="009B14DA" w14:paraId="3376AB54" w14:textId="2EC0AB3F" w:rsidTr="00B1144B">
        <w:trPr>
          <w:trHeight w:val="391"/>
        </w:trPr>
        <w:tc>
          <w:tcPr>
            <w:tcW w:w="453" w:type="dxa"/>
          </w:tcPr>
          <w:p w14:paraId="3379C689" w14:textId="0344EFA5" w:rsidR="00ED548B" w:rsidRPr="009B14DA" w:rsidRDefault="00ED548B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1</w:t>
            </w:r>
          </w:p>
        </w:tc>
        <w:tc>
          <w:tcPr>
            <w:tcW w:w="4929" w:type="dxa"/>
          </w:tcPr>
          <w:p w14:paraId="61C23229" w14:textId="27D1540C" w:rsidR="00ED548B" w:rsidRPr="009B14DA" w:rsidRDefault="005348DD" w:rsidP="00B1236C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Изучение имеющейся методологии и предложения по ее сокращению и упрощению для применения в странах региона ЦА</w:t>
            </w:r>
          </w:p>
        </w:tc>
        <w:tc>
          <w:tcPr>
            <w:tcW w:w="2268" w:type="dxa"/>
          </w:tcPr>
          <w:p w14:paraId="720B382B" w14:textId="3627FAF6" w:rsidR="00ED548B" w:rsidRPr="009B14DA" w:rsidRDefault="005348D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Структура методологии и ее тезисное изложение</w:t>
            </w:r>
            <w:r w:rsidR="001E32E4" w:rsidRPr="009B14DA">
              <w:rPr>
                <w:rFonts w:ascii="Times New Roman" w:eastAsia="Microsoft YaHei UI Light" w:hAnsi="Times New Roman"/>
              </w:rPr>
              <w:t xml:space="preserve"> </w:t>
            </w:r>
          </w:p>
        </w:tc>
        <w:tc>
          <w:tcPr>
            <w:tcW w:w="1695" w:type="dxa"/>
          </w:tcPr>
          <w:p w14:paraId="30764E61" w14:textId="0C41C77E" w:rsidR="00ED548B" w:rsidRPr="009B14DA" w:rsidRDefault="005348D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1</w:t>
            </w:r>
            <w:r w:rsidR="0022570D" w:rsidRPr="009B14DA">
              <w:rPr>
                <w:rFonts w:ascii="Times New Roman" w:eastAsia="Microsoft YaHei UI Light" w:hAnsi="Times New Roman"/>
              </w:rPr>
              <w:t>5</w:t>
            </w:r>
            <w:r w:rsidRPr="009B14DA">
              <w:rPr>
                <w:rFonts w:ascii="Times New Roman" w:eastAsia="Microsoft YaHei UI Light" w:hAnsi="Times New Roman"/>
              </w:rPr>
              <w:t xml:space="preserve"> сентября 2025 года</w:t>
            </w:r>
          </w:p>
        </w:tc>
      </w:tr>
      <w:tr w:rsidR="00ED548B" w:rsidRPr="009B14DA" w14:paraId="58D4A09A" w14:textId="45A9A572" w:rsidTr="00B1144B">
        <w:trPr>
          <w:trHeight w:val="412"/>
        </w:trPr>
        <w:tc>
          <w:tcPr>
            <w:tcW w:w="453" w:type="dxa"/>
          </w:tcPr>
          <w:p w14:paraId="063A3AE2" w14:textId="2D83475B" w:rsidR="00ED548B" w:rsidRPr="009B14DA" w:rsidRDefault="00ED548B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2</w:t>
            </w:r>
          </w:p>
        </w:tc>
        <w:tc>
          <w:tcPr>
            <w:tcW w:w="4929" w:type="dxa"/>
          </w:tcPr>
          <w:p w14:paraId="02F1B50A" w14:textId="55169DD5" w:rsidR="00ED548B" w:rsidRPr="009B14DA" w:rsidRDefault="005348D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Сбор форм отчетности и составление набора сопоставимых данных, позволяющих оценить вклад НКО (на основе формы 4-ФИН)</w:t>
            </w:r>
          </w:p>
        </w:tc>
        <w:tc>
          <w:tcPr>
            <w:tcW w:w="2268" w:type="dxa"/>
          </w:tcPr>
          <w:p w14:paraId="0DBAF84F" w14:textId="0CC50C51" w:rsidR="00ED548B" w:rsidRPr="009B14DA" w:rsidRDefault="005348D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Таблица данных с указанием источника</w:t>
            </w:r>
          </w:p>
        </w:tc>
        <w:tc>
          <w:tcPr>
            <w:tcW w:w="1695" w:type="dxa"/>
          </w:tcPr>
          <w:p w14:paraId="183CE7D3" w14:textId="245320E4" w:rsidR="00ED548B" w:rsidRPr="009B14DA" w:rsidRDefault="0022570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22</w:t>
            </w:r>
            <w:r w:rsidR="005348DD" w:rsidRPr="009B14DA">
              <w:rPr>
                <w:rFonts w:ascii="Times New Roman" w:eastAsia="Microsoft YaHei UI Light" w:hAnsi="Times New Roman"/>
              </w:rPr>
              <w:t xml:space="preserve"> сентября 2025 года</w:t>
            </w:r>
          </w:p>
        </w:tc>
      </w:tr>
      <w:tr w:rsidR="00ED548B" w:rsidRPr="009B14DA" w14:paraId="51AC91C7" w14:textId="73964238" w:rsidTr="00B1144B">
        <w:trPr>
          <w:trHeight w:val="403"/>
        </w:trPr>
        <w:tc>
          <w:tcPr>
            <w:tcW w:w="453" w:type="dxa"/>
          </w:tcPr>
          <w:p w14:paraId="6A9789F5" w14:textId="01D3DE51" w:rsidR="00ED548B" w:rsidRPr="009B14DA" w:rsidRDefault="00ED548B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3</w:t>
            </w:r>
          </w:p>
        </w:tc>
        <w:tc>
          <w:tcPr>
            <w:tcW w:w="4929" w:type="dxa"/>
          </w:tcPr>
          <w:p w14:paraId="5294710B" w14:textId="7EC9B96E" w:rsidR="00ED548B" w:rsidRPr="009B14DA" w:rsidRDefault="005348D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Пилотирование методологии и сбора качественных данных, если это будет предусмотрено методологией</w:t>
            </w:r>
          </w:p>
        </w:tc>
        <w:tc>
          <w:tcPr>
            <w:tcW w:w="2268" w:type="dxa"/>
          </w:tcPr>
          <w:p w14:paraId="23C18233" w14:textId="6FB5B5EA" w:rsidR="00ED548B" w:rsidRPr="009B14DA" w:rsidRDefault="005348D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Краткий отчет о пилотировании</w:t>
            </w:r>
          </w:p>
        </w:tc>
        <w:tc>
          <w:tcPr>
            <w:tcW w:w="1695" w:type="dxa"/>
          </w:tcPr>
          <w:p w14:paraId="667763DD" w14:textId="052BA9BD" w:rsidR="00ED548B" w:rsidRPr="009B14DA" w:rsidRDefault="005348DD" w:rsidP="00292908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Подлежит обсуждению</w:t>
            </w:r>
          </w:p>
        </w:tc>
      </w:tr>
      <w:tr w:rsidR="005348DD" w:rsidRPr="009B14DA" w14:paraId="0E614692" w14:textId="0D3F0981" w:rsidTr="00B1144B">
        <w:trPr>
          <w:trHeight w:val="282"/>
        </w:trPr>
        <w:tc>
          <w:tcPr>
            <w:tcW w:w="453" w:type="dxa"/>
          </w:tcPr>
          <w:p w14:paraId="3B930830" w14:textId="2154E348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4</w:t>
            </w:r>
          </w:p>
        </w:tc>
        <w:tc>
          <w:tcPr>
            <w:tcW w:w="4929" w:type="dxa"/>
          </w:tcPr>
          <w:p w14:paraId="12ADE27F" w14:textId="08BB068D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Сбор и анализ качественных данных, если это будет предусмотрено методологией</w:t>
            </w:r>
          </w:p>
        </w:tc>
        <w:tc>
          <w:tcPr>
            <w:tcW w:w="2268" w:type="dxa"/>
          </w:tcPr>
          <w:p w14:paraId="33D6D96F" w14:textId="22E85E48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База качественных данных</w:t>
            </w:r>
          </w:p>
        </w:tc>
        <w:tc>
          <w:tcPr>
            <w:tcW w:w="1695" w:type="dxa"/>
          </w:tcPr>
          <w:p w14:paraId="465C42C6" w14:textId="7D5DF89D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Подлежит обсуждению</w:t>
            </w:r>
          </w:p>
        </w:tc>
      </w:tr>
      <w:tr w:rsidR="005348DD" w:rsidRPr="009B14DA" w14:paraId="2EED9910" w14:textId="5C7A8683" w:rsidTr="007A15B1">
        <w:trPr>
          <w:trHeight w:val="245"/>
        </w:trPr>
        <w:tc>
          <w:tcPr>
            <w:tcW w:w="453" w:type="dxa"/>
          </w:tcPr>
          <w:p w14:paraId="1BEF4B66" w14:textId="3345EA2B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5</w:t>
            </w:r>
          </w:p>
        </w:tc>
        <w:tc>
          <w:tcPr>
            <w:tcW w:w="4929" w:type="dxa"/>
          </w:tcPr>
          <w:p w14:paraId="462C39E2" w14:textId="3DB6BF58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Разработка финального варианта методологии</w:t>
            </w:r>
          </w:p>
        </w:tc>
        <w:tc>
          <w:tcPr>
            <w:tcW w:w="2268" w:type="dxa"/>
          </w:tcPr>
          <w:p w14:paraId="29B564ED" w14:textId="6796C5D5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 xml:space="preserve">Финальный вариант методологии </w:t>
            </w:r>
          </w:p>
        </w:tc>
        <w:tc>
          <w:tcPr>
            <w:tcW w:w="1695" w:type="dxa"/>
          </w:tcPr>
          <w:p w14:paraId="63872E99" w14:textId="5FBBDC7A" w:rsidR="005348DD" w:rsidRPr="009B14DA" w:rsidRDefault="0022570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9B14DA">
              <w:rPr>
                <w:rFonts w:ascii="Times New Roman" w:eastAsia="Microsoft YaHei UI Light" w:hAnsi="Times New Roman"/>
              </w:rPr>
              <w:t>20</w:t>
            </w:r>
            <w:r w:rsidR="00F2335E" w:rsidRPr="009B14DA">
              <w:rPr>
                <w:rFonts w:ascii="Times New Roman" w:eastAsia="Microsoft YaHei UI Light" w:hAnsi="Times New Roman"/>
              </w:rPr>
              <w:t xml:space="preserve"> </w:t>
            </w:r>
            <w:r w:rsidRPr="009B14DA">
              <w:rPr>
                <w:rFonts w:ascii="Times New Roman" w:eastAsia="Microsoft YaHei UI Light" w:hAnsi="Times New Roman"/>
              </w:rPr>
              <w:t>октября</w:t>
            </w:r>
            <w:r w:rsidR="00F2335E" w:rsidRPr="009B14DA">
              <w:rPr>
                <w:rFonts w:ascii="Times New Roman" w:eastAsia="Microsoft YaHei UI Light" w:hAnsi="Times New Roman"/>
              </w:rPr>
              <w:t xml:space="preserve"> 2025 года</w:t>
            </w:r>
          </w:p>
        </w:tc>
      </w:tr>
      <w:tr w:rsidR="005348DD" w:rsidRPr="009B14DA" w14:paraId="21DACFEA" w14:textId="77777777" w:rsidTr="007A15B1">
        <w:trPr>
          <w:trHeight w:val="245"/>
        </w:trPr>
        <w:tc>
          <w:tcPr>
            <w:tcW w:w="453" w:type="dxa"/>
          </w:tcPr>
          <w:p w14:paraId="3B03EE52" w14:textId="6267038C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5</w:t>
            </w:r>
          </w:p>
        </w:tc>
        <w:tc>
          <w:tcPr>
            <w:tcW w:w="4929" w:type="dxa"/>
          </w:tcPr>
          <w:p w14:paraId="20DA8673" w14:textId="439E17A7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Разработка отчета об анализе качественных данных, если это будет предусмотрено методологией</w:t>
            </w:r>
          </w:p>
        </w:tc>
        <w:tc>
          <w:tcPr>
            <w:tcW w:w="2268" w:type="dxa"/>
          </w:tcPr>
          <w:p w14:paraId="7A64A844" w14:textId="4896CC86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Отчет об анализе качественных данных</w:t>
            </w:r>
          </w:p>
        </w:tc>
        <w:tc>
          <w:tcPr>
            <w:tcW w:w="1695" w:type="dxa"/>
          </w:tcPr>
          <w:p w14:paraId="02982547" w14:textId="0148B001" w:rsidR="005348DD" w:rsidRPr="009B14DA" w:rsidRDefault="005348DD" w:rsidP="005348DD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  <w:i/>
                <w:iCs/>
              </w:rPr>
            </w:pPr>
            <w:r w:rsidRPr="009B14DA">
              <w:rPr>
                <w:rFonts w:ascii="Times New Roman" w:eastAsia="Microsoft YaHei UI Light" w:hAnsi="Times New Roman"/>
                <w:i/>
                <w:iCs/>
              </w:rPr>
              <w:t>Подлежит обсуждению</w:t>
            </w:r>
          </w:p>
        </w:tc>
      </w:tr>
    </w:tbl>
    <w:p w14:paraId="2A3745D9" w14:textId="0CC0DC47" w:rsidR="0037600F" w:rsidRPr="009B14DA" w:rsidRDefault="0037600F" w:rsidP="00292908">
      <w:p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</w:rPr>
      </w:pPr>
    </w:p>
    <w:p w14:paraId="22FD8167" w14:textId="4D48A7B4" w:rsidR="00EA7B3F" w:rsidRPr="009B14DA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t>Сроки исполнения задания</w:t>
      </w:r>
    </w:p>
    <w:p w14:paraId="725A11B9" w14:textId="070FAB85" w:rsidR="00EA7B3F" w:rsidRPr="009B14DA" w:rsidRDefault="00EA7B3F" w:rsidP="00292908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br/>
        <w:t xml:space="preserve">Данное техническое задание должно быть выполнено в период с </w:t>
      </w:r>
      <w:r w:rsidR="003C4AD3" w:rsidRPr="003C4AD3">
        <w:rPr>
          <w:rFonts w:ascii="Times New Roman" w:hAnsi="Times New Roman"/>
        </w:rPr>
        <w:t>8</w:t>
      </w:r>
      <w:r w:rsidR="001E32E4" w:rsidRPr="009B14DA">
        <w:rPr>
          <w:rFonts w:ascii="Times New Roman" w:hAnsi="Times New Roman"/>
        </w:rPr>
        <w:t xml:space="preserve"> сентября</w:t>
      </w:r>
      <w:r w:rsidR="00ED548B" w:rsidRPr="009B14DA">
        <w:rPr>
          <w:rFonts w:ascii="Times New Roman" w:hAnsi="Times New Roman"/>
        </w:rPr>
        <w:t xml:space="preserve"> </w:t>
      </w:r>
      <w:r w:rsidR="00975CBC" w:rsidRPr="009B14DA">
        <w:rPr>
          <w:rFonts w:ascii="Times New Roman" w:hAnsi="Times New Roman"/>
        </w:rPr>
        <w:t xml:space="preserve">по </w:t>
      </w:r>
      <w:r w:rsidR="0037600F" w:rsidRPr="009B14DA">
        <w:rPr>
          <w:rFonts w:ascii="Times New Roman" w:hAnsi="Times New Roman"/>
        </w:rPr>
        <w:t xml:space="preserve">31 </w:t>
      </w:r>
      <w:r w:rsidR="00F2335E" w:rsidRPr="009B14DA">
        <w:rPr>
          <w:rFonts w:ascii="Times New Roman" w:hAnsi="Times New Roman"/>
        </w:rPr>
        <w:t>октября</w:t>
      </w:r>
      <w:r w:rsidR="0037600F" w:rsidRPr="009B14DA">
        <w:rPr>
          <w:rFonts w:ascii="Times New Roman" w:hAnsi="Times New Roman"/>
        </w:rPr>
        <w:t xml:space="preserve"> 202</w:t>
      </w:r>
      <w:r w:rsidR="001E32E4" w:rsidRPr="009B14DA">
        <w:rPr>
          <w:rFonts w:ascii="Times New Roman" w:hAnsi="Times New Roman"/>
        </w:rPr>
        <w:t>5</w:t>
      </w:r>
      <w:r w:rsidR="001B6738" w:rsidRPr="009B14DA">
        <w:rPr>
          <w:rFonts w:ascii="Times New Roman" w:hAnsi="Times New Roman"/>
        </w:rPr>
        <w:t xml:space="preserve"> </w:t>
      </w:r>
      <w:r w:rsidR="0037600F" w:rsidRPr="009B14DA">
        <w:rPr>
          <w:rFonts w:ascii="Times New Roman" w:hAnsi="Times New Roman"/>
        </w:rPr>
        <w:t xml:space="preserve">г. </w:t>
      </w:r>
      <w:r w:rsidR="00ED548B" w:rsidRPr="009B14DA">
        <w:rPr>
          <w:rFonts w:ascii="Times New Roman" w:hAnsi="Times New Roman"/>
        </w:rPr>
        <w:t xml:space="preserve">График является </w:t>
      </w:r>
      <w:r w:rsidR="007A15B1" w:rsidRPr="009B14DA">
        <w:rPr>
          <w:rFonts w:ascii="Times New Roman" w:hAnsi="Times New Roman"/>
        </w:rPr>
        <w:t>предварительным</w:t>
      </w:r>
      <w:r w:rsidR="00ED548B" w:rsidRPr="009B14DA">
        <w:rPr>
          <w:rFonts w:ascii="Times New Roman" w:hAnsi="Times New Roman"/>
        </w:rPr>
        <w:t xml:space="preserve"> и </w:t>
      </w:r>
      <w:r w:rsidR="007A15B1" w:rsidRPr="009B14DA">
        <w:rPr>
          <w:rFonts w:ascii="Times New Roman" w:hAnsi="Times New Roman"/>
        </w:rPr>
        <w:t>может быть изменен</w:t>
      </w:r>
      <w:r w:rsidR="001E32E4" w:rsidRPr="009B14DA">
        <w:rPr>
          <w:rFonts w:ascii="Times New Roman" w:hAnsi="Times New Roman"/>
        </w:rPr>
        <w:t>.</w:t>
      </w:r>
      <w:r w:rsidR="007A15B1" w:rsidRPr="009B14DA">
        <w:rPr>
          <w:rFonts w:ascii="Times New Roman" w:hAnsi="Times New Roman"/>
        </w:rPr>
        <w:t xml:space="preserve"> </w:t>
      </w:r>
    </w:p>
    <w:p w14:paraId="7B7D8B66" w14:textId="16AE51E9" w:rsidR="00C20254" w:rsidRPr="009B14DA" w:rsidRDefault="00C20254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t>Оплата услуг</w:t>
      </w:r>
    </w:p>
    <w:p w14:paraId="1A59B06F" w14:textId="1091DF53" w:rsidR="00C20254" w:rsidRPr="009B14DA" w:rsidRDefault="00C20254" w:rsidP="00292908">
      <w:pPr>
        <w:tabs>
          <w:tab w:val="left" w:pos="1533"/>
        </w:tabs>
        <w:spacing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br/>
      </w:r>
      <w:r w:rsidR="003C123E" w:rsidRPr="009B14DA">
        <w:rPr>
          <w:rFonts w:ascii="Times New Roman" w:hAnsi="Times New Roman"/>
        </w:rPr>
        <w:t xml:space="preserve">Оплата услуг производится </w:t>
      </w:r>
      <w:r w:rsidR="00975CBC" w:rsidRPr="009B14DA">
        <w:rPr>
          <w:rFonts w:ascii="Times New Roman" w:hAnsi="Times New Roman"/>
        </w:rPr>
        <w:t>по мере утверждения</w:t>
      </w:r>
      <w:r w:rsidR="003C123E" w:rsidRPr="009B14DA">
        <w:rPr>
          <w:rFonts w:ascii="Times New Roman" w:hAnsi="Times New Roman"/>
        </w:rPr>
        <w:t xml:space="preserve"> отчет</w:t>
      </w:r>
      <w:r w:rsidR="00975CBC" w:rsidRPr="009B14DA">
        <w:rPr>
          <w:rFonts w:ascii="Times New Roman" w:hAnsi="Times New Roman"/>
        </w:rPr>
        <w:t>ов</w:t>
      </w:r>
      <w:r w:rsidR="00ED548B" w:rsidRPr="009B14DA">
        <w:rPr>
          <w:rFonts w:ascii="Times New Roman" w:hAnsi="Times New Roman"/>
        </w:rPr>
        <w:t xml:space="preserve"> о проделанной работе</w:t>
      </w:r>
      <w:r w:rsidR="003C123E" w:rsidRPr="009B14DA">
        <w:rPr>
          <w:rFonts w:ascii="Times New Roman" w:hAnsi="Times New Roman"/>
        </w:rPr>
        <w:t xml:space="preserve"> </w:t>
      </w:r>
      <w:r w:rsidR="00975CBC" w:rsidRPr="009B14DA">
        <w:rPr>
          <w:rFonts w:ascii="Times New Roman" w:hAnsi="Times New Roman"/>
        </w:rPr>
        <w:t xml:space="preserve">и </w:t>
      </w:r>
      <w:r w:rsidR="003C123E" w:rsidRPr="009B14DA">
        <w:rPr>
          <w:rFonts w:ascii="Times New Roman" w:hAnsi="Times New Roman"/>
        </w:rPr>
        <w:t>акт</w:t>
      </w:r>
      <w:r w:rsidR="00975CBC" w:rsidRPr="009B14DA">
        <w:rPr>
          <w:rFonts w:ascii="Times New Roman" w:hAnsi="Times New Roman"/>
        </w:rPr>
        <w:t>ов</w:t>
      </w:r>
      <w:r w:rsidR="003C123E" w:rsidRPr="009B14DA">
        <w:rPr>
          <w:rFonts w:ascii="Times New Roman" w:hAnsi="Times New Roman"/>
        </w:rPr>
        <w:t xml:space="preserve"> оказания услуг</w:t>
      </w:r>
      <w:r w:rsidR="00955B08" w:rsidRPr="009B14DA">
        <w:rPr>
          <w:rFonts w:ascii="Times New Roman" w:hAnsi="Times New Roman"/>
        </w:rPr>
        <w:t>.</w:t>
      </w:r>
      <w:r w:rsidR="00E374F1" w:rsidRPr="009B14DA">
        <w:rPr>
          <w:rFonts w:ascii="Times New Roman" w:hAnsi="Times New Roman"/>
        </w:rPr>
        <w:t xml:space="preserve"> </w:t>
      </w:r>
    </w:p>
    <w:p w14:paraId="0466E716" w14:textId="77777777" w:rsidR="00EA7B3F" w:rsidRPr="009B14DA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t>Квалификационные требования</w:t>
      </w:r>
    </w:p>
    <w:p w14:paraId="37A5DE50" w14:textId="00CA2C55" w:rsidR="00ED548B" w:rsidRPr="009B14DA" w:rsidRDefault="00EA7B3F" w:rsidP="000C1539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br/>
      </w:r>
      <w:r w:rsidR="00ED548B" w:rsidRPr="009B14DA">
        <w:rPr>
          <w:rFonts w:ascii="Times New Roman" w:hAnsi="Times New Roman"/>
        </w:rPr>
        <w:t>Поставщик услуг</w:t>
      </w:r>
      <w:r w:rsidRPr="009B14DA">
        <w:rPr>
          <w:rFonts w:ascii="Times New Roman" w:hAnsi="Times New Roman"/>
        </w:rPr>
        <w:t xml:space="preserve"> должен соответствовать следующим требованиям:</w:t>
      </w:r>
    </w:p>
    <w:p w14:paraId="36570273" w14:textId="5F24C040" w:rsidR="00014039" w:rsidRPr="009B14DA" w:rsidRDefault="00BC68FA" w:rsidP="001E32E4">
      <w:pPr>
        <w:pStyle w:val="a4"/>
        <w:numPr>
          <w:ilvl w:val="0"/>
          <w:numId w:val="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bookmarkStart w:id="5" w:name="_GoBack"/>
      <w:bookmarkEnd w:id="5"/>
      <w:r w:rsidRPr="009B14DA">
        <w:rPr>
          <w:rFonts w:ascii="Times New Roman" w:eastAsia="Microsoft YaHei UI Light" w:hAnsi="Times New Roman"/>
        </w:rPr>
        <w:t xml:space="preserve">опыт </w:t>
      </w:r>
      <w:r w:rsidR="00F2335E" w:rsidRPr="009B14DA">
        <w:rPr>
          <w:rFonts w:ascii="Times New Roman" w:eastAsia="Microsoft YaHei UI Light" w:hAnsi="Times New Roman"/>
        </w:rPr>
        <w:t>участия в оценке вклада НКО;</w:t>
      </w:r>
    </w:p>
    <w:p w14:paraId="7350C323" w14:textId="20A233BC" w:rsidR="00F2335E" w:rsidRPr="009B14DA" w:rsidRDefault="00F2335E" w:rsidP="001E32E4">
      <w:pPr>
        <w:pStyle w:val="a4"/>
        <w:numPr>
          <w:ilvl w:val="0"/>
          <w:numId w:val="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9B14DA">
        <w:rPr>
          <w:rFonts w:ascii="Times New Roman" w:eastAsia="Microsoft YaHei UI Light" w:hAnsi="Times New Roman"/>
        </w:rPr>
        <w:t>опыт проведения гуманитарных исследований не менее 5 лет;</w:t>
      </w:r>
    </w:p>
    <w:p w14:paraId="3F00D651" w14:textId="368A7CD2" w:rsidR="001E32E4" w:rsidRPr="009B14DA" w:rsidRDefault="00F2335E" w:rsidP="001E32E4">
      <w:pPr>
        <w:pStyle w:val="a4"/>
        <w:numPr>
          <w:ilvl w:val="0"/>
          <w:numId w:val="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9B14DA">
        <w:rPr>
          <w:rFonts w:ascii="Times New Roman" w:eastAsia="Microsoft YaHei UI Light" w:hAnsi="Times New Roman"/>
        </w:rPr>
        <w:t>наличие</w:t>
      </w:r>
      <w:r w:rsidR="001E32E4" w:rsidRPr="009B14DA">
        <w:rPr>
          <w:rFonts w:ascii="Times New Roman" w:eastAsia="Microsoft YaHei UI Light" w:hAnsi="Times New Roman"/>
        </w:rPr>
        <w:t xml:space="preserve"> партнеров среди НКО</w:t>
      </w:r>
      <w:r w:rsidRPr="009B14DA">
        <w:rPr>
          <w:rFonts w:ascii="Times New Roman" w:eastAsia="Microsoft YaHei UI Light" w:hAnsi="Times New Roman"/>
        </w:rPr>
        <w:t xml:space="preserve"> в странах Центральной Азии</w:t>
      </w:r>
      <w:r w:rsidR="005D1247">
        <w:rPr>
          <w:rFonts w:ascii="Times New Roman" w:eastAsia="Microsoft YaHei UI Light" w:hAnsi="Times New Roman"/>
        </w:rPr>
        <w:t xml:space="preserve"> – </w:t>
      </w:r>
      <w:r w:rsidR="005D1247" w:rsidRPr="005D1247">
        <w:rPr>
          <w:rFonts w:ascii="Times New Roman" w:eastAsia="Microsoft YaHei UI Light" w:hAnsi="Times New Roman"/>
          <w:i/>
          <w:iCs/>
        </w:rPr>
        <w:t>указать в резюме</w:t>
      </w:r>
      <w:r w:rsidRPr="009B14DA">
        <w:rPr>
          <w:rFonts w:ascii="Times New Roman" w:eastAsia="Microsoft YaHei UI Light" w:hAnsi="Times New Roman"/>
        </w:rPr>
        <w:t>;</w:t>
      </w:r>
    </w:p>
    <w:p w14:paraId="3C54BE67" w14:textId="15516202" w:rsidR="0037600F" w:rsidRPr="009B14DA" w:rsidRDefault="00BC68FA" w:rsidP="00292908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9B14DA">
        <w:rPr>
          <w:rFonts w:ascii="Times New Roman" w:eastAsia="Microsoft YaHei UI Light" w:hAnsi="Times New Roman"/>
        </w:rPr>
        <w:t xml:space="preserve">свободное </w:t>
      </w:r>
      <w:r w:rsidR="0037600F" w:rsidRPr="009B14DA">
        <w:rPr>
          <w:rFonts w:ascii="Times New Roman" w:eastAsia="Microsoft YaHei UI Light" w:hAnsi="Times New Roman"/>
        </w:rPr>
        <w:t xml:space="preserve">владение </w:t>
      </w:r>
      <w:r w:rsidR="000C1539" w:rsidRPr="009B14DA">
        <w:rPr>
          <w:rFonts w:ascii="Times New Roman" w:eastAsia="Microsoft YaHei UI Light" w:hAnsi="Times New Roman"/>
        </w:rPr>
        <w:t>кыргызским</w:t>
      </w:r>
      <w:r w:rsidR="0037600F" w:rsidRPr="009B14DA">
        <w:rPr>
          <w:rFonts w:ascii="Times New Roman" w:eastAsia="Microsoft YaHei UI Light" w:hAnsi="Times New Roman"/>
        </w:rPr>
        <w:t xml:space="preserve"> и русским языками</w:t>
      </w:r>
      <w:r w:rsidR="005D1247">
        <w:rPr>
          <w:rFonts w:ascii="Times New Roman" w:eastAsia="Microsoft YaHei UI Light" w:hAnsi="Times New Roman"/>
        </w:rPr>
        <w:t xml:space="preserve"> – </w:t>
      </w:r>
      <w:r w:rsidR="005D1247" w:rsidRPr="005D1247">
        <w:rPr>
          <w:rFonts w:ascii="Times New Roman" w:eastAsia="Microsoft YaHei UI Light" w:hAnsi="Times New Roman"/>
          <w:i/>
          <w:iCs/>
        </w:rPr>
        <w:t>указать в резюме</w:t>
      </w:r>
      <w:r w:rsidR="0037600F" w:rsidRPr="009B14DA">
        <w:rPr>
          <w:rFonts w:ascii="Times New Roman" w:eastAsia="Microsoft YaHei UI Light" w:hAnsi="Times New Roman"/>
        </w:rPr>
        <w:t>.</w:t>
      </w:r>
    </w:p>
    <w:p w14:paraId="1A195BB3" w14:textId="2D4784CA" w:rsidR="00EA7B3F" w:rsidRPr="009B14DA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t xml:space="preserve">Требования к статусу </w:t>
      </w:r>
      <w:r w:rsidR="000C1539" w:rsidRPr="009B14DA">
        <w:rPr>
          <w:rFonts w:ascii="Times New Roman" w:hAnsi="Times New Roman"/>
          <w:b/>
          <w:bCs/>
        </w:rPr>
        <w:t>поставщика</w:t>
      </w:r>
      <w:r w:rsidR="001B6738" w:rsidRPr="009B14DA">
        <w:rPr>
          <w:rFonts w:ascii="Times New Roman" w:hAnsi="Times New Roman"/>
          <w:b/>
          <w:bCs/>
        </w:rPr>
        <w:t>:</w:t>
      </w:r>
    </w:p>
    <w:p w14:paraId="711E2B8B" w14:textId="426962F8" w:rsidR="00EA7B3F" w:rsidRPr="009B14DA" w:rsidRDefault="001B6738" w:rsidP="00292908">
      <w:pPr>
        <w:pStyle w:val="a4"/>
        <w:numPr>
          <w:ilvl w:val="0"/>
          <w:numId w:val="1"/>
        </w:numPr>
        <w:tabs>
          <w:tab w:val="left" w:pos="0"/>
        </w:tabs>
        <w:spacing w:after="160"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наличие регистрации в статусе </w:t>
      </w:r>
      <w:r w:rsidR="00EA7B3F" w:rsidRPr="009B14DA">
        <w:rPr>
          <w:rFonts w:ascii="Times New Roman" w:hAnsi="Times New Roman"/>
        </w:rPr>
        <w:t>индивидуальн</w:t>
      </w:r>
      <w:r w:rsidRPr="009B14DA">
        <w:rPr>
          <w:rFonts w:ascii="Times New Roman" w:hAnsi="Times New Roman"/>
        </w:rPr>
        <w:t>ого</w:t>
      </w:r>
      <w:r w:rsidR="00EA7B3F" w:rsidRPr="009B14DA">
        <w:rPr>
          <w:rFonts w:ascii="Times New Roman" w:hAnsi="Times New Roman"/>
        </w:rPr>
        <w:t xml:space="preserve"> предпринимател</w:t>
      </w:r>
      <w:r w:rsidRPr="009B14DA">
        <w:rPr>
          <w:rFonts w:ascii="Times New Roman" w:hAnsi="Times New Roman"/>
        </w:rPr>
        <w:t>я</w:t>
      </w:r>
      <w:r w:rsidR="00EA7B3F" w:rsidRPr="009B14DA">
        <w:rPr>
          <w:rFonts w:ascii="Times New Roman" w:hAnsi="Times New Roman"/>
        </w:rPr>
        <w:t>, позволяющ</w:t>
      </w:r>
      <w:r w:rsidRPr="009B14DA">
        <w:rPr>
          <w:rFonts w:ascii="Times New Roman" w:hAnsi="Times New Roman"/>
        </w:rPr>
        <w:t>е</w:t>
      </w:r>
      <w:r w:rsidR="000C1539" w:rsidRPr="009B14DA">
        <w:rPr>
          <w:rFonts w:ascii="Times New Roman" w:hAnsi="Times New Roman"/>
        </w:rPr>
        <w:t>го оказывать указанные виды услуг</w:t>
      </w:r>
    </w:p>
    <w:p w14:paraId="178D1F7D" w14:textId="69D26D7C" w:rsidR="007D491E" w:rsidRPr="009B14DA" w:rsidRDefault="00BC68FA" w:rsidP="007D491E">
      <w:pPr>
        <w:pStyle w:val="a4"/>
        <w:numPr>
          <w:ilvl w:val="0"/>
          <w:numId w:val="1"/>
        </w:numPr>
        <w:tabs>
          <w:tab w:val="left" w:pos="0"/>
        </w:tabs>
        <w:spacing w:after="160"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либо </w:t>
      </w:r>
      <w:r w:rsidR="000C1539" w:rsidRPr="009B14DA">
        <w:rPr>
          <w:rFonts w:ascii="Times New Roman" w:hAnsi="Times New Roman"/>
        </w:rPr>
        <w:t>наличие регистрации в статусе юридического лица.</w:t>
      </w:r>
    </w:p>
    <w:p w14:paraId="3185F162" w14:textId="7906F031" w:rsidR="007D491E" w:rsidRPr="009B14DA" w:rsidRDefault="007D491E" w:rsidP="007D491E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t>Порядок отбора</w:t>
      </w:r>
    </w:p>
    <w:p w14:paraId="58C60E8C" w14:textId="514BFDBA" w:rsidR="007D491E" w:rsidRPr="009B14DA" w:rsidRDefault="007D491E" w:rsidP="007D491E">
      <w:pPr>
        <w:tabs>
          <w:tab w:val="left" w:pos="0"/>
        </w:tabs>
        <w:spacing w:after="160"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br/>
        <w:t>Партнер будет выбран на конкурсной основе. Конкурс будет состоять из одного этапа - сбор предложений (резюме экспертов, примеры исследований, финансовое предложение).</w:t>
      </w:r>
    </w:p>
    <w:p w14:paraId="236D38FC" w14:textId="72DD87DF" w:rsidR="00EA7B3F" w:rsidRPr="009B14DA" w:rsidRDefault="00EA7B3F" w:rsidP="00892D1C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9B14DA">
        <w:rPr>
          <w:rFonts w:ascii="Times New Roman" w:hAnsi="Times New Roman"/>
          <w:b/>
          <w:bCs/>
        </w:rPr>
        <w:t xml:space="preserve">Подотчетность </w:t>
      </w:r>
      <w:r w:rsidR="00955B08" w:rsidRPr="009B14DA">
        <w:rPr>
          <w:rFonts w:ascii="Times New Roman" w:hAnsi="Times New Roman"/>
          <w:b/>
          <w:bCs/>
        </w:rPr>
        <w:t xml:space="preserve">и взаимодействие </w:t>
      </w:r>
      <w:r w:rsidRPr="009B14DA">
        <w:rPr>
          <w:rFonts w:ascii="Times New Roman" w:hAnsi="Times New Roman"/>
          <w:b/>
          <w:bCs/>
        </w:rPr>
        <w:t xml:space="preserve">исполнителя </w:t>
      </w:r>
    </w:p>
    <w:p w14:paraId="50E19698" w14:textId="14120BC8" w:rsidR="00955B08" w:rsidRPr="009B14DA" w:rsidRDefault="00EA7B3F" w:rsidP="00292908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В рамках исполнения данного технического задания </w:t>
      </w:r>
      <w:r w:rsidR="000F73F4" w:rsidRPr="009B14DA">
        <w:rPr>
          <w:rFonts w:ascii="Times New Roman" w:hAnsi="Times New Roman"/>
        </w:rPr>
        <w:t>поставщик услуг</w:t>
      </w:r>
      <w:r w:rsidRPr="009B14DA">
        <w:rPr>
          <w:rFonts w:ascii="Times New Roman" w:hAnsi="Times New Roman"/>
        </w:rPr>
        <w:t xml:space="preserve"> подотчетен председателю правления ИПР Надежде ДОБРЕЦОВОЙ (по вопросам смыслов и содержания) и </w:t>
      </w:r>
      <w:r w:rsidRPr="009B14DA">
        <w:rPr>
          <w:rFonts w:ascii="Times New Roman" w:hAnsi="Times New Roman"/>
        </w:rPr>
        <w:lastRenderedPageBreak/>
        <w:t xml:space="preserve">административному менеджеру Проекта Алтынай БУЗУРМАНКУЛОВОЙ (по административным вопросам). </w:t>
      </w:r>
    </w:p>
    <w:p w14:paraId="302FEF51" w14:textId="779B741C" w:rsidR="00EA7B3F" w:rsidRPr="009B14DA" w:rsidRDefault="00955B08" w:rsidP="00292908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9B14DA">
        <w:rPr>
          <w:rFonts w:ascii="Times New Roman" w:hAnsi="Times New Roman"/>
        </w:rPr>
        <w:t xml:space="preserve">В процессе исполнения задания </w:t>
      </w:r>
      <w:r w:rsidR="000C1539" w:rsidRPr="009B14DA">
        <w:rPr>
          <w:rFonts w:ascii="Times New Roman" w:hAnsi="Times New Roman"/>
        </w:rPr>
        <w:t>поставщик</w:t>
      </w:r>
      <w:r w:rsidRPr="009B14DA">
        <w:rPr>
          <w:rFonts w:ascii="Times New Roman" w:hAnsi="Times New Roman"/>
        </w:rPr>
        <w:t xml:space="preserve"> взаимодействует с другими консультантами проекта, в том числе, используя данные, предоставленные другими консультантами. </w:t>
      </w:r>
      <w:r w:rsidR="00EA7B3F" w:rsidRPr="009B14DA">
        <w:rPr>
          <w:rFonts w:ascii="Times New Roman" w:hAnsi="Times New Roman"/>
        </w:rPr>
        <w:t xml:space="preserve">В процессе исполнения задания </w:t>
      </w:r>
      <w:r w:rsidR="000C1539" w:rsidRPr="009B14DA">
        <w:rPr>
          <w:rFonts w:ascii="Times New Roman" w:hAnsi="Times New Roman"/>
        </w:rPr>
        <w:t>поставщик</w:t>
      </w:r>
      <w:r w:rsidR="00EA7B3F" w:rsidRPr="009B14DA">
        <w:rPr>
          <w:rFonts w:ascii="Times New Roman" w:hAnsi="Times New Roman"/>
        </w:rPr>
        <w:t xml:space="preserve"> также должен реагировать на запросы и предложения </w:t>
      </w:r>
      <w:r w:rsidR="0037600F" w:rsidRPr="009B14DA">
        <w:rPr>
          <w:rFonts w:ascii="Times New Roman" w:hAnsi="Times New Roman"/>
          <w:lang w:val="en-US"/>
        </w:rPr>
        <w:t>FCDO</w:t>
      </w:r>
      <w:r w:rsidR="00EA7B3F" w:rsidRPr="009B14DA">
        <w:rPr>
          <w:rFonts w:ascii="Times New Roman" w:hAnsi="Times New Roman"/>
        </w:rPr>
        <w:t>, поступающие через ИПР.</w:t>
      </w:r>
    </w:p>
    <w:p w14:paraId="333BCD76" w14:textId="77777777" w:rsidR="00EA7B3F" w:rsidRPr="009B14DA" w:rsidRDefault="00EA7B3F" w:rsidP="00892D1C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9B14DA">
        <w:rPr>
          <w:rFonts w:ascii="Times New Roman" w:hAnsi="Times New Roman"/>
          <w:b/>
        </w:rPr>
        <w:t>Приложения к техническому заданию</w:t>
      </w:r>
    </w:p>
    <w:p w14:paraId="11033417" w14:textId="413D05E4" w:rsidR="00C96CAA" w:rsidRPr="009B14DA" w:rsidRDefault="00F2335E" w:rsidP="0022570D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9B14DA">
        <w:rPr>
          <w:rFonts w:ascii="Times New Roman" w:hAnsi="Times New Roman"/>
          <w:bCs/>
        </w:rPr>
        <w:t>НЕТ</w:t>
      </w:r>
    </w:p>
    <w:sectPr w:rsidR="00C96CAA" w:rsidRPr="009B14DA" w:rsidSect="0022570D">
      <w:footerReference w:type="default" r:id="rId9"/>
      <w:foot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C9829" w14:textId="77777777" w:rsidR="00A013A7" w:rsidRDefault="00A013A7" w:rsidP="001B6738">
      <w:pPr>
        <w:spacing w:after="0" w:line="240" w:lineRule="auto"/>
      </w:pPr>
      <w:r>
        <w:separator/>
      </w:r>
    </w:p>
  </w:endnote>
  <w:endnote w:type="continuationSeparator" w:id="0">
    <w:p w14:paraId="242A7CE0" w14:textId="77777777" w:rsidR="00A013A7" w:rsidRDefault="00A013A7" w:rsidP="001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107734"/>
      <w:docPartObj>
        <w:docPartGallery w:val="Page Numbers (Bottom of Page)"/>
        <w:docPartUnique/>
      </w:docPartObj>
    </w:sdtPr>
    <w:sdtEndPr/>
    <w:sdtContent>
      <w:p w14:paraId="0A9D2D1D" w14:textId="569CEB7A" w:rsidR="00B54504" w:rsidRDefault="00B54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AA">
          <w:rPr>
            <w:noProof/>
          </w:rPr>
          <w:t>5</w:t>
        </w:r>
        <w:r>
          <w:fldChar w:fldCharType="end"/>
        </w:r>
      </w:p>
    </w:sdtContent>
  </w:sdt>
  <w:p w14:paraId="1F59586B" w14:textId="77777777" w:rsidR="00B54504" w:rsidRDefault="00B545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379211"/>
      <w:docPartObj>
        <w:docPartGallery w:val="Page Numbers (Bottom of Page)"/>
        <w:docPartUnique/>
      </w:docPartObj>
    </w:sdtPr>
    <w:sdtEndPr/>
    <w:sdtContent>
      <w:p w14:paraId="4751DE88" w14:textId="2CB200E5" w:rsidR="001B6738" w:rsidRDefault="001B67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AA">
          <w:rPr>
            <w:noProof/>
          </w:rPr>
          <w:t>1</w:t>
        </w:r>
        <w:r>
          <w:fldChar w:fldCharType="end"/>
        </w:r>
      </w:p>
    </w:sdtContent>
  </w:sdt>
  <w:p w14:paraId="5269FE69" w14:textId="77777777" w:rsidR="001B6738" w:rsidRDefault="001B67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08CD1" w14:textId="77777777" w:rsidR="00A013A7" w:rsidRDefault="00A013A7" w:rsidP="001B6738">
      <w:pPr>
        <w:spacing w:after="0" w:line="240" w:lineRule="auto"/>
      </w:pPr>
      <w:r>
        <w:separator/>
      </w:r>
    </w:p>
  </w:footnote>
  <w:footnote w:type="continuationSeparator" w:id="0">
    <w:p w14:paraId="423C69DC" w14:textId="77777777" w:rsidR="00A013A7" w:rsidRDefault="00A013A7" w:rsidP="001B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5572"/>
    <w:multiLevelType w:val="hybridMultilevel"/>
    <w:tmpl w:val="53E4D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195"/>
    <w:multiLevelType w:val="hybridMultilevel"/>
    <w:tmpl w:val="5764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1A3E"/>
    <w:multiLevelType w:val="hybridMultilevel"/>
    <w:tmpl w:val="57C23D32"/>
    <w:lvl w:ilvl="0" w:tplc="6160FC7A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403711"/>
    <w:multiLevelType w:val="hybridMultilevel"/>
    <w:tmpl w:val="5312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F63"/>
    <w:multiLevelType w:val="hybridMultilevel"/>
    <w:tmpl w:val="9E3A98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B61B78"/>
    <w:multiLevelType w:val="hybridMultilevel"/>
    <w:tmpl w:val="EC728BDE"/>
    <w:lvl w:ilvl="0" w:tplc="296EB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335E"/>
    <w:multiLevelType w:val="hybridMultilevel"/>
    <w:tmpl w:val="1EA04392"/>
    <w:lvl w:ilvl="0" w:tplc="DBFE3BDE">
      <w:numFmt w:val="bullet"/>
      <w:lvlText w:val="•"/>
      <w:lvlJc w:val="left"/>
      <w:pPr>
        <w:ind w:left="720" w:hanging="360"/>
      </w:pPr>
      <w:rPr>
        <w:rFonts w:ascii="Arial" w:eastAsia="Microsoft YaHei UI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685E"/>
    <w:multiLevelType w:val="hybridMultilevel"/>
    <w:tmpl w:val="3980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4EA0"/>
    <w:multiLevelType w:val="hybridMultilevel"/>
    <w:tmpl w:val="C944B626"/>
    <w:lvl w:ilvl="0" w:tplc="034A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E64C2"/>
    <w:multiLevelType w:val="hybridMultilevel"/>
    <w:tmpl w:val="418CEC1E"/>
    <w:lvl w:ilvl="0" w:tplc="6160FC7A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F2F05"/>
    <w:multiLevelType w:val="hybridMultilevel"/>
    <w:tmpl w:val="3A3EDEDC"/>
    <w:lvl w:ilvl="0" w:tplc="034A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E70C7"/>
    <w:multiLevelType w:val="hybridMultilevel"/>
    <w:tmpl w:val="BFEA1D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44A70"/>
    <w:multiLevelType w:val="hybridMultilevel"/>
    <w:tmpl w:val="D0B42DB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27147B"/>
    <w:multiLevelType w:val="hybridMultilevel"/>
    <w:tmpl w:val="B418903C"/>
    <w:lvl w:ilvl="0" w:tplc="DBFE3BDE">
      <w:numFmt w:val="bullet"/>
      <w:lvlText w:val="•"/>
      <w:lvlJc w:val="left"/>
      <w:pPr>
        <w:ind w:left="1854" w:hanging="360"/>
      </w:pPr>
      <w:rPr>
        <w:rFonts w:ascii="Arial" w:eastAsia="Microsoft YaHei UI Light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8A34BF3"/>
    <w:multiLevelType w:val="hybridMultilevel"/>
    <w:tmpl w:val="BA92F0D6"/>
    <w:lvl w:ilvl="0" w:tplc="C0CE12E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B7F75"/>
    <w:multiLevelType w:val="hybridMultilevel"/>
    <w:tmpl w:val="0E68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8"/>
  </w:num>
  <w:num w:numId="5">
    <w:abstractNumId w:val="15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F"/>
    <w:rsid w:val="00014039"/>
    <w:rsid w:val="00015932"/>
    <w:rsid w:val="000414B9"/>
    <w:rsid w:val="00086089"/>
    <w:rsid w:val="00092DEC"/>
    <w:rsid w:val="000B78A9"/>
    <w:rsid w:val="000C1539"/>
    <w:rsid w:val="000E1E3C"/>
    <w:rsid w:val="000F73F4"/>
    <w:rsid w:val="00152238"/>
    <w:rsid w:val="001B6738"/>
    <w:rsid w:val="001D4612"/>
    <w:rsid w:val="001E32E4"/>
    <w:rsid w:val="001E76B1"/>
    <w:rsid w:val="001E7D34"/>
    <w:rsid w:val="002001DA"/>
    <w:rsid w:val="0022570D"/>
    <w:rsid w:val="00243DFC"/>
    <w:rsid w:val="002609AB"/>
    <w:rsid w:val="00277DCF"/>
    <w:rsid w:val="00286676"/>
    <w:rsid w:val="00292908"/>
    <w:rsid w:val="002D41BC"/>
    <w:rsid w:val="0032575D"/>
    <w:rsid w:val="003445D2"/>
    <w:rsid w:val="00365C59"/>
    <w:rsid w:val="0037600F"/>
    <w:rsid w:val="003B0676"/>
    <w:rsid w:val="003B58E5"/>
    <w:rsid w:val="003C123E"/>
    <w:rsid w:val="003C4AD3"/>
    <w:rsid w:val="003C4F45"/>
    <w:rsid w:val="003F6CFD"/>
    <w:rsid w:val="00444904"/>
    <w:rsid w:val="0049301A"/>
    <w:rsid w:val="00496A07"/>
    <w:rsid w:val="004D13F3"/>
    <w:rsid w:val="00504265"/>
    <w:rsid w:val="0050426B"/>
    <w:rsid w:val="00513ACA"/>
    <w:rsid w:val="00516C72"/>
    <w:rsid w:val="005174C8"/>
    <w:rsid w:val="00532A00"/>
    <w:rsid w:val="005348DD"/>
    <w:rsid w:val="005A7991"/>
    <w:rsid w:val="005D1247"/>
    <w:rsid w:val="00624F51"/>
    <w:rsid w:val="0069279A"/>
    <w:rsid w:val="006B7255"/>
    <w:rsid w:val="006D2C11"/>
    <w:rsid w:val="006F5E24"/>
    <w:rsid w:val="00725622"/>
    <w:rsid w:val="0073339A"/>
    <w:rsid w:val="00752F2B"/>
    <w:rsid w:val="00753EFF"/>
    <w:rsid w:val="00765834"/>
    <w:rsid w:val="007713BF"/>
    <w:rsid w:val="007920A6"/>
    <w:rsid w:val="007A15B1"/>
    <w:rsid w:val="007D491E"/>
    <w:rsid w:val="007E454F"/>
    <w:rsid w:val="007E7B85"/>
    <w:rsid w:val="007F0640"/>
    <w:rsid w:val="007F7A30"/>
    <w:rsid w:val="00823DEA"/>
    <w:rsid w:val="00872EE7"/>
    <w:rsid w:val="00886845"/>
    <w:rsid w:val="00892D1C"/>
    <w:rsid w:val="008F4457"/>
    <w:rsid w:val="00955B08"/>
    <w:rsid w:val="00975CBC"/>
    <w:rsid w:val="00996AE8"/>
    <w:rsid w:val="009B14DA"/>
    <w:rsid w:val="00A013A7"/>
    <w:rsid w:val="00A02A09"/>
    <w:rsid w:val="00A02F95"/>
    <w:rsid w:val="00A1243B"/>
    <w:rsid w:val="00A37B96"/>
    <w:rsid w:val="00A72057"/>
    <w:rsid w:val="00AD68B4"/>
    <w:rsid w:val="00AF70C8"/>
    <w:rsid w:val="00B1144B"/>
    <w:rsid w:val="00B1236C"/>
    <w:rsid w:val="00B12789"/>
    <w:rsid w:val="00B147AF"/>
    <w:rsid w:val="00B248CA"/>
    <w:rsid w:val="00B54504"/>
    <w:rsid w:val="00B840DF"/>
    <w:rsid w:val="00BB17FB"/>
    <w:rsid w:val="00BC3E59"/>
    <w:rsid w:val="00BC68FA"/>
    <w:rsid w:val="00BF57B3"/>
    <w:rsid w:val="00BF7B0F"/>
    <w:rsid w:val="00C12702"/>
    <w:rsid w:val="00C20254"/>
    <w:rsid w:val="00C96CAA"/>
    <w:rsid w:val="00C972A5"/>
    <w:rsid w:val="00C9734D"/>
    <w:rsid w:val="00D24BD0"/>
    <w:rsid w:val="00D33D8C"/>
    <w:rsid w:val="00D357B2"/>
    <w:rsid w:val="00D62275"/>
    <w:rsid w:val="00D73792"/>
    <w:rsid w:val="00D93537"/>
    <w:rsid w:val="00E054C8"/>
    <w:rsid w:val="00E05B04"/>
    <w:rsid w:val="00E231E8"/>
    <w:rsid w:val="00E374F1"/>
    <w:rsid w:val="00E776BF"/>
    <w:rsid w:val="00EA7B3F"/>
    <w:rsid w:val="00ED548B"/>
    <w:rsid w:val="00EE6FE9"/>
    <w:rsid w:val="00EE71CF"/>
    <w:rsid w:val="00F2335E"/>
    <w:rsid w:val="00F26B42"/>
    <w:rsid w:val="00F371B9"/>
    <w:rsid w:val="00F60B68"/>
    <w:rsid w:val="00F76CCB"/>
    <w:rsid w:val="00FC0147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94E4"/>
  <w15:chartTrackingRefBased/>
  <w15:docId w15:val="{8543D6D3-0F88-4845-83B7-22A8CEF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E5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3AC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3">
    <w:name w:val="heading 3"/>
    <w:basedOn w:val="a"/>
    <w:link w:val="30"/>
    <w:uiPriority w:val="9"/>
    <w:qFormat/>
    <w:rsid w:val="0001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Dot pt,F5 List Paragraph,List Paragraph1,No Spacing1,List Paragraph Char Char Char,Indicator Text,Colorful List - Accent 11,Numbered Para 1,Bullet 1,Bullet Points,List Paragraph2,MAIN CONTENT,Normal numbered,Párrafo de lista,OBC Bullet,L"/>
    <w:basedOn w:val="a"/>
    <w:link w:val="a5"/>
    <w:uiPriority w:val="34"/>
    <w:qFormat/>
    <w:rsid w:val="00EA7B3F"/>
    <w:pPr>
      <w:ind w:left="720"/>
      <w:contextualSpacing/>
    </w:pPr>
  </w:style>
  <w:style w:type="character" w:styleId="a6">
    <w:name w:val="Hyperlink"/>
    <w:uiPriority w:val="99"/>
    <w:unhideWhenUsed/>
    <w:rsid w:val="00EA7B3F"/>
    <w:rPr>
      <w:color w:val="0000FF"/>
      <w:u w:val="single"/>
    </w:rPr>
  </w:style>
  <w:style w:type="character" w:customStyle="1" w:styleId="a5">
    <w:name w:val="Абзац списка Знак"/>
    <w:aliases w:val="Dot pt Знак,F5 List Paragraph Знак,List Paragraph1 Знак,No Spacing1 Знак,List Paragraph Char Char Char Знак,Indicator Text Знак,Colorful List - Accent 11 Знак,Numbered Para 1 Знак,Bullet 1 Знак,Bullet Points Знак,List Paragraph2 Знак"/>
    <w:basedOn w:val="a0"/>
    <w:link w:val="a4"/>
    <w:uiPriority w:val="34"/>
    <w:qFormat/>
    <w:locked/>
    <w:rsid w:val="00EA7B3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73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14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AC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ab">
    <w:name w:val="footnote text"/>
    <w:basedOn w:val="a"/>
    <w:link w:val="ac"/>
    <w:uiPriority w:val="99"/>
    <w:semiHidden/>
    <w:unhideWhenUsed/>
    <w:rsid w:val="00513ACA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c">
    <w:name w:val="Текст сноски Знак"/>
    <w:basedOn w:val="a0"/>
    <w:link w:val="ab"/>
    <w:uiPriority w:val="99"/>
    <w:semiHidden/>
    <w:rsid w:val="00513ACA"/>
    <w:rPr>
      <w:kern w:val="2"/>
      <w:sz w:val="20"/>
      <w:szCs w:val="20"/>
      <w14:ligatures w14:val="standardContextual"/>
    </w:rPr>
  </w:style>
  <w:style w:type="character" w:styleId="ad">
    <w:name w:val="footnote reference"/>
    <w:basedOn w:val="a0"/>
    <w:uiPriority w:val="99"/>
    <w:unhideWhenUsed/>
    <w:rsid w:val="00513AC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9279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7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79A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7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79A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69279A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Unresolved Mention"/>
    <w:basedOn w:val="a0"/>
    <w:uiPriority w:val="99"/>
    <w:semiHidden/>
    <w:unhideWhenUsed/>
    <w:rsid w:val="007D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Zakupki DPI</cp:lastModifiedBy>
  <cp:revision>4</cp:revision>
  <dcterms:created xsi:type="dcterms:W3CDTF">2025-08-21T08:02:00Z</dcterms:created>
  <dcterms:modified xsi:type="dcterms:W3CDTF">2025-08-22T03:16:00Z</dcterms:modified>
</cp:coreProperties>
</file>