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5AD33" w14:textId="77777777" w:rsidR="00181104" w:rsidRPr="00181104" w:rsidRDefault="00181104" w:rsidP="00181104">
      <w:pPr>
        <w:rPr>
          <w:b/>
          <w:bCs/>
        </w:rPr>
      </w:pPr>
      <w:r w:rsidRPr="00181104">
        <w:rPr>
          <w:b/>
          <w:bCs/>
        </w:rPr>
        <w:t>В Душанбе обсудили пути развития местной экономики через партнерство государства, бизнеса и гражданского общества</w:t>
      </w:r>
    </w:p>
    <w:p w14:paraId="5C424D8D" w14:textId="66E66220" w:rsidR="00181104" w:rsidRPr="00181104" w:rsidRDefault="00181104" w:rsidP="008F178C">
      <w:pPr>
        <w:pStyle w:val="ac"/>
        <w:ind w:firstLine="708"/>
        <w:jc w:val="both"/>
      </w:pPr>
      <w:r w:rsidRPr="00181104">
        <w:rPr>
          <w:b/>
          <w:bCs/>
        </w:rPr>
        <w:t>Душанбе, 5 июня 2026 года.</w:t>
      </w:r>
      <w:r w:rsidRPr="00181104">
        <w:t xml:space="preserve"> В столице Таджикистана состоялся круглый стол </w:t>
      </w:r>
      <w:r>
        <w:t xml:space="preserve">на тему </w:t>
      </w:r>
      <w:r w:rsidRPr="00181104">
        <w:t xml:space="preserve">«Управление местным экономическим развитием в Республике Таджикистан: планирование и сотрудничество НКО, </w:t>
      </w:r>
      <w:proofErr w:type="spellStart"/>
      <w:r w:rsidRPr="00181104">
        <w:t>джамоата</w:t>
      </w:r>
      <w:proofErr w:type="spellEnd"/>
      <w:r w:rsidRPr="00181104">
        <w:t xml:space="preserve"> и частного сектора»</w:t>
      </w:r>
      <w:r>
        <w:t xml:space="preserve">. Мероприятие было </w:t>
      </w:r>
      <w:r w:rsidRPr="00181104">
        <w:t>организован</w:t>
      </w:r>
      <w:r>
        <w:t>о</w:t>
      </w:r>
      <w:r w:rsidRPr="00181104">
        <w:t xml:space="preserve"> общественными организациями «Саодат» и «</w:t>
      </w:r>
      <w:proofErr w:type="spellStart"/>
      <w:r w:rsidRPr="00181104">
        <w:t>Фидокор</w:t>
      </w:r>
      <w:proofErr w:type="spellEnd"/>
      <w:r w:rsidRPr="00181104">
        <w:t xml:space="preserve">» </w:t>
      </w:r>
      <w:r w:rsidR="002A78A1">
        <w:rPr>
          <w:lang w:val="tg-Cyrl-TJ"/>
        </w:rPr>
        <w:t xml:space="preserve">в тесном сотрудничестве с Министерством экономического развития и торговли Республики Таджикистан, Комитетом по местному развитию при Президенте Республики Таджикистан </w:t>
      </w:r>
      <w:r w:rsidRPr="00181104">
        <w:t>в рамках программы «Эффективное управление для экономического развития» (EGED), реализуемой при финансовой поддержке Правительства Великобритании для международного развития в сотрудничестве с Институтом политики развития</w:t>
      </w:r>
      <w:r>
        <w:t xml:space="preserve"> (Кыргызстан)</w:t>
      </w:r>
      <w:r w:rsidRPr="00181104">
        <w:t>.</w:t>
      </w:r>
    </w:p>
    <w:p w14:paraId="5F2C7AFF" w14:textId="5408C673" w:rsidR="00A73C3B" w:rsidRPr="00181104" w:rsidRDefault="00181104" w:rsidP="00A73C3B">
      <w:pPr>
        <w:pStyle w:val="ac"/>
        <w:ind w:firstLine="708"/>
        <w:jc w:val="both"/>
      </w:pPr>
      <w:r>
        <w:t>В обсуждении приняли участие</w:t>
      </w:r>
      <w:r w:rsidRPr="00181104">
        <w:t xml:space="preserve"> представител</w:t>
      </w:r>
      <w:r>
        <w:t>и</w:t>
      </w:r>
      <w:r w:rsidRPr="00181104">
        <w:t xml:space="preserve"> центральных и местных органов власти, </w:t>
      </w:r>
      <w:proofErr w:type="spellStart"/>
      <w:r w:rsidRPr="00181104">
        <w:t>джамоатов</w:t>
      </w:r>
      <w:proofErr w:type="spellEnd"/>
      <w:r w:rsidRPr="00181104">
        <w:t xml:space="preserve">, организаций гражданского общества, частного сектора, экспертного и академического сообщества, а также международных партнеров по развитию. </w:t>
      </w:r>
      <w:r>
        <w:t>Они</w:t>
      </w:r>
      <w:r w:rsidRPr="00181104">
        <w:t xml:space="preserve"> обсудили</w:t>
      </w:r>
      <w:r w:rsidR="00E04A06">
        <w:rPr>
          <w:lang w:val="tg-Cyrl-TJ"/>
        </w:rPr>
        <w:t xml:space="preserve"> н</w:t>
      </w:r>
      <w:r w:rsidR="00E04A06">
        <w:t>ы</w:t>
      </w:r>
      <w:r w:rsidR="00E04A06">
        <w:rPr>
          <w:lang w:val="tg-Cyrl-TJ"/>
        </w:rPr>
        <w:t xml:space="preserve">нешную практику разработки программ развития районов и городов, джамоатов, </w:t>
      </w:r>
      <w:r w:rsidRPr="00181104">
        <w:t>механизмы стимулирования экономического роста на местном уровне</w:t>
      </w:r>
      <w:r w:rsidR="00A73C3B">
        <w:t xml:space="preserve"> </w:t>
      </w:r>
      <w:r w:rsidRPr="00181104">
        <w:t>и перспективы совершенствования системы планирования развития территорий.</w:t>
      </w:r>
      <w:r w:rsidR="00A73C3B">
        <w:t xml:space="preserve"> </w:t>
      </w:r>
      <w:r w:rsidR="00A73C3B" w:rsidRPr="00181104">
        <w:t xml:space="preserve">Эксперты представили обзор международного опыта управления местным экономическим развитием, включая практики стран Центральной Азии, а также рекомендации по совершенствованию процессов планирования и прогнозирования на уровне </w:t>
      </w:r>
      <w:proofErr w:type="spellStart"/>
      <w:r w:rsidR="00A73C3B" w:rsidRPr="00181104">
        <w:t>джамоатов</w:t>
      </w:r>
      <w:proofErr w:type="spellEnd"/>
      <w:r w:rsidR="00A73C3B" w:rsidRPr="00181104">
        <w:t>.</w:t>
      </w:r>
    </w:p>
    <w:p w14:paraId="76A5F3C2" w14:textId="2A02E1E7" w:rsidR="00181104" w:rsidRPr="00A73C3B" w:rsidRDefault="00A73C3B" w:rsidP="008F178C">
      <w:pPr>
        <w:pStyle w:val="ac"/>
        <w:ind w:firstLine="708"/>
        <w:jc w:val="both"/>
      </w:pPr>
      <w:r>
        <w:t>«</w:t>
      </w:r>
      <w:r w:rsidRPr="002D1B4F">
        <w:rPr>
          <w:i/>
          <w:iCs/>
        </w:rPr>
        <w:t>Один из приоритетных задач Правительство Республики Таджикистан является улучшение благосостояни</w:t>
      </w:r>
      <w:r w:rsidR="007F0580">
        <w:rPr>
          <w:i/>
          <w:iCs/>
        </w:rPr>
        <w:t>я</w:t>
      </w:r>
      <w:r w:rsidRPr="002D1B4F">
        <w:rPr>
          <w:i/>
          <w:iCs/>
        </w:rPr>
        <w:t xml:space="preserve"> населения страны, кот</w:t>
      </w:r>
      <w:r w:rsidR="004576AD" w:rsidRPr="002D1B4F">
        <w:rPr>
          <w:i/>
          <w:iCs/>
        </w:rPr>
        <w:t>о</w:t>
      </w:r>
      <w:r w:rsidRPr="002D1B4F">
        <w:rPr>
          <w:i/>
          <w:iCs/>
        </w:rPr>
        <w:t xml:space="preserve">рого </w:t>
      </w:r>
      <w:r w:rsidR="004576AD" w:rsidRPr="002D1B4F">
        <w:rPr>
          <w:i/>
          <w:iCs/>
        </w:rPr>
        <w:t>невозможно</w:t>
      </w:r>
      <w:r w:rsidRPr="002D1B4F">
        <w:rPr>
          <w:i/>
          <w:iCs/>
        </w:rPr>
        <w:t xml:space="preserve"> достичь </w:t>
      </w:r>
      <w:r w:rsidR="004576AD" w:rsidRPr="002D1B4F">
        <w:rPr>
          <w:i/>
          <w:iCs/>
        </w:rPr>
        <w:t xml:space="preserve">местного развития и улучшения </w:t>
      </w:r>
      <w:r w:rsidR="007F0580">
        <w:rPr>
          <w:i/>
          <w:iCs/>
        </w:rPr>
        <w:t>качество</w:t>
      </w:r>
      <w:r w:rsidR="004576AD" w:rsidRPr="002D1B4F">
        <w:rPr>
          <w:i/>
          <w:iCs/>
        </w:rPr>
        <w:t xml:space="preserve"> жизни на местах</w:t>
      </w:r>
      <w:r>
        <w:t>»</w:t>
      </w:r>
      <w:r w:rsidR="004576AD">
        <w:t xml:space="preserve"> - отметила </w:t>
      </w:r>
      <w:r w:rsidR="00366FD8">
        <w:t xml:space="preserve">Манучехра </w:t>
      </w:r>
      <w:proofErr w:type="spellStart"/>
      <w:r w:rsidR="00366FD8">
        <w:t>Маджон</w:t>
      </w:r>
      <w:proofErr w:type="spellEnd"/>
      <w:r w:rsidR="00366FD8">
        <w:t xml:space="preserve">, </w:t>
      </w:r>
      <w:r w:rsidR="004576AD">
        <w:t>Начальник Главного управления инвестиционной политики и развития регионов Министерства экономического развития и торговли Республики Таджикистан.</w:t>
      </w:r>
    </w:p>
    <w:p w14:paraId="57855C00" w14:textId="6FB207E2" w:rsidR="00181104" w:rsidRPr="00181104" w:rsidRDefault="00181104" w:rsidP="008F178C">
      <w:pPr>
        <w:pStyle w:val="ac"/>
        <w:ind w:firstLine="708"/>
        <w:jc w:val="both"/>
      </w:pPr>
      <w:r w:rsidRPr="00181104">
        <w:t xml:space="preserve">В ходе круглого стола были представлены </w:t>
      </w:r>
      <w:r w:rsidR="00A73C3B">
        <w:t xml:space="preserve">первичные </w:t>
      </w:r>
      <w:r w:rsidRPr="00181104">
        <w:t xml:space="preserve">результаты </w:t>
      </w:r>
      <w:proofErr w:type="spellStart"/>
      <w:r w:rsidR="00A73C3B">
        <w:t>микро</w:t>
      </w:r>
      <w:r w:rsidRPr="00181104">
        <w:t>проектов</w:t>
      </w:r>
      <w:proofErr w:type="spellEnd"/>
      <w:r w:rsidRPr="00181104">
        <w:t xml:space="preserve"> по местному экономическому развитию, реализ</w:t>
      </w:r>
      <w:r w:rsidR="00A73C3B">
        <w:t xml:space="preserve">уемые </w:t>
      </w:r>
      <w:r w:rsidRPr="00181104">
        <w:t xml:space="preserve">в Согдийской и Хатлонской областях. Особое внимание было уделено практическому опыту сотрудничества </w:t>
      </w:r>
      <w:proofErr w:type="spellStart"/>
      <w:r w:rsidRPr="00181104">
        <w:t>джамоатов</w:t>
      </w:r>
      <w:proofErr w:type="spellEnd"/>
      <w:r w:rsidRPr="00181104">
        <w:t>, местных сообществ и предпринимателей в реализации инициатив, направленных на создание рабочих мест, повышение доходов населения и развитие малого бизнеса.</w:t>
      </w:r>
    </w:p>
    <w:p w14:paraId="32275606" w14:textId="48A592EF" w:rsidR="00181104" w:rsidRDefault="00181104" w:rsidP="008F178C">
      <w:pPr>
        <w:pStyle w:val="ac"/>
        <w:ind w:firstLine="708"/>
        <w:jc w:val="both"/>
      </w:pPr>
      <w:r w:rsidRPr="00181104">
        <w:t>Представители организаций-исполнителей отметили, что даже небольшие экономические проекты способны стать важным инструментом развития территорий при условии их интеграции в систему местного планирования и поддержки со стороны органов власти.</w:t>
      </w:r>
    </w:p>
    <w:p w14:paraId="2A1BFED8" w14:textId="55AB6F9C" w:rsidR="00181104" w:rsidRPr="00181104" w:rsidRDefault="00181104" w:rsidP="008F178C">
      <w:pPr>
        <w:pStyle w:val="ac"/>
        <w:ind w:firstLine="708"/>
        <w:jc w:val="both"/>
      </w:pPr>
      <w:r w:rsidRPr="00181104">
        <w:rPr>
          <w:i/>
          <w:iCs/>
        </w:rPr>
        <w:lastRenderedPageBreak/>
        <w:t>«Местное экономическое развитие начинается с понимания потенциала каждой территории. Когда органы власти, жители и бизнес работают сообща, даже небольшие инициативы способны создавать устойчивые экономические результаты и улучшать качество жизни населения»,</w:t>
      </w:r>
      <w:r w:rsidRPr="00181104">
        <w:t xml:space="preserve"> </w:t>
      </w:r>
      <w:r>
        <w:t>–</w:t>
      </w:r>
      <w:r w:rsidRPr="00181104">
        <w:t xml:space="preserve"> отметила председатель правления Института политики развития Надежда Добрецов</w:t>
      </w:r>
      <w:r>
        <w:t>а</w:t>
      </w:r>
      <w:r w:rsidRPr="00181104">
        <w:t>.</w:t>
      </w:r>
    </w:p>
    <w:p w14:paraId="5B7D9746" w14:textId="77777777" w:rsidR="008F178C" w:rsidRDefault="008F178C" w:rsidP="007E61CD">
      <w:pPr>
        <w:pStyle w:val="ac"/>
        <w:ind w:firstLine="708"/>
        <w:jc w:val="both"/>
      </w:pPr>
      <w:r w:rsidRPr="005C0BA0">
        <w:rPr>
          <w:i/>
          <w:iCs/>
        </w:rPr>
        <w:t xml:space="preserve">«Проект показал, что даже небольшие инвестиции способны приносить значимые результаты. В четырех пилотных </w:t>
      </w:r>
      <w:proofErr w:type="spellStart"/>
      <w:r w:rsidRPr="005C0BA0">
        <w:rPr>
          <w:i/>
          <w:iCs/>
        </w:rPr>
        <w:t>джамоатах</w:t>
      </w:r>
      <w:proofErr w:type="spellEnd"/>
      <w:r w:rsidRPr="005C0BA0">
        <w:rPr>
          <w:i/>
          <w:iCs/>
        </w:rPr>
        <w:t xml:space="preserve"> поддержано семь предпринимательских инициатив, инвестировано более 187 тысяч сомони и создано свыше 70 рабочих мест и возможностей для самозанятости. Это вклад не только в развитие бизнеса, но и в устойчивое развитие местных сообществ. Полученный опыт может быть масштабирован и в других регионах Таджикистана»,</w:t>
      </w:r>
      <w:r>
        <w:t xml:space="preserve"> – сказала </w:t>
      </w:r>
      <w:r w:rsidRPr="005C0BA0">
        <w:t xml:space="preserve">Мунира </w:t>
      </w:r>
      <w:proofErr w:type="spellStart"/>
      <w:r w:rsidRPr="005C0BA0">
        <w:t>Осимова</w:t>
      </w:r>
      <w:proofErr w:type="spellEnd"/>
      <w:r w:rsidRPr="005C0BA0">
        <w:t>, менеджер проекта ОО «Саодат»</w:t>
      </w:r>
      <w:r>
        <w:t>.</w:t>
      </w:r>
    </w:p>
    <w:p w14:paraId="7C214D77" w14:textId="77777777" w:rsidR="008F178C" w:rsidRDefault="008F178C" w:rsidP="008F178C">
      <w:pPr>
        <w:pStyle w:val="ac"/>
        <w:ind w:firstLine="708"/>
        <w:jc w:val="both"/>
      </w:pPr>
      <w:r w:rsidRPr="00AB42E7">
        <w:rPr>
          <w:i/>
          <w:iCs/>
        </w:rPr>
        <w:t xml:space="preserve">«Благодаря поддержке двух </w:t>
      </w:r>
      <w:proofErr w:type="spellStart"/>
      <w:r w:rsidRPr="00AB42E7">
        <w:rPr>
          <w:i/>
          <w:iCs/>
        </w:rPr>
        <w:t>микропроектов</w:t>
      </w:r>
      <w:proofErr w:type="spellEnd"/>
      <w:r w:rsidRPr="00AB42E7">
        <w:rPr>
          <w:i/>
          <w:iCs/>
        </w:rPr>
        <w:t xml:space="preserve"> </w:t>
      </w:r>
      <w:r w:rsidRPr="00FD28A8">
        <w:rPr>
          <w:i/>
          <w:iCs/>
        </w:rPr>
        <w:t>более 11 500</w:t>
      </w:r>
      <w:r w:rsidRPr="00AB42E7">
        <w:rPr>
          <w:i/>
          <w:iCs/>
        </w:rPr>
        <w:t xml:space="preserve"> жителей Хатлонской области получили новые возможности для занятости и роста доходов. Проекты позволили создать 13 рабочих мест, увеличить доходы хозяйств на 25–35% и расширить производство с выходом на новые рынки, способствуя развитию местной экономики и расширению рынков сбыта»,</w:t>
      </w:r>
      <w:r>
        <w:t xml:space="preserve"> – </w:t>
      </w:r>
      <w:r w:rsidRPr="00AB42E7">
        <w:t xml:space="preserve">Рустам </w:t>
      </w:r>
      <w:proofErr w:type="spellStart"/>
      <w:r w:rsidRPr="00AB42E7">
        <w:t>Бахридинов</w:t>
      </w:r>
      <w:proofErr w:type="spellEnd"/>
      <w:r w:rsidRPr="00AB42E7">
        <w:t>, менеджер проекта ОО «</w:t>
      </w:r>
      <w:proofErr w:type="spellStart"/>
      <w:r w:rsidRPr="00AB42E7">
        <w:t>Фидокор</w:t>
      </w:r>
      <w:proofErr w:type="spellEnd"/>
      <w:r w:rsidRPr="00AB42E7">
        <w:t>»</w:t>
      </w:r>
      <w:r>
        <w:t>.</w:t>
      </w:r>
    </w:p>
    <w:p w14:paraId="6A771B70" w14:textId="3F2E802B" w:rsidR="007E61CD" w:rsidRDefault="007E61CD" w:rsidP="008F178C">
      <w:pPr>
        <w:pStyle w:val="ac"/>
        <w:ind w:firstLine="708"/>
        <w:jc w:val="both"/>
      </w:pPr>
      <w:r>
        <w:t xml:space="preserve">По словам участников, </w:t>
      </w:r>
      <w:r w:rsidRPr="00181104">
        <w:t>эффективное управление местным развитием требует использования достоверных данных, прогнозирования экономического роста и более тесной координации между местным и национальным уровнями управления.</w:t>
      </w:r>
    </w:p>
    <w:p w14:paraId="7C7005FB" w14:textId="0AA80AF5" w:rsidR="007F0580" w:rsidRPr="002D1B4F" w:rsidRDefault="004F5040" w:rsidP="008F178C">
      <w:pPr>
        <w:pStyle w:val="ac"/>
        <w:ind w:firstLine="708"/>
        <w:jc w:val="both"/>
        <w:rPr>
          <w:lang w:val="tg-Cyrl-TJ"/>
        </w:rPr>
      </w:pPr>
      <w:r>
        <w:rPr>
          <w:i/>
          <w:iCs/>
          <w:lang w:val="tg-Cyrl-TJ"/>
        </w:rPr>
        <w:t>“</w:t>
      </w:r>
      <w:r w:rsidRPr="004F5040">
        <w:rPr>
          <w:i/>
          <w:iCs/>
        </w:rPr>
        <w:t xml:space="preserve">На современном этапе развития Республики Таджикистан, характеризующемся цифровизацией государственных услуг и процессов, постепенным внедрением технологий искусственного интеллекта, расширением применения информационных технологий в различных сферах, усилением роли мониторинга и оценки, а также наличием диспропорций в социально-экономическом развитии регионов и вызовов, связанных с изменением климата, методологические подходы к разработке программ развития районов, городов и </w:t>
      </w:r>
      <w:proofErr w:type="spellStart"/>
      <w:r w:rsidRPr="004F5040">
        <w:rPr>
          <w:i/>
          <w:iCs/>
        </w:rPr>
        <w:t>джамоатов</w:t>
      </w:r>
      <w:proofErr w:type="spellEnd"/>
      <w:r w:rsidRPr="004F5040">
        <w:rPr>
          <w:i/>
          <w:iCs/>
        </w:rPr>
        <w:t xml:space="preserve"> требуют постоянного пересмотра и совершенствования</w:t>
      </w:r>
      <w:r>
        <w:rPr>
          <w:i/>
          <w:iCs/>
          <w:lang w:val="tg-Cyrl-TJ"/>
        </w:rPr>
        <w:t>”</w:t>
      </w:r>
      <w:r>
        <w:t xml:space="preserve"> - </w:t>
      </w:r>
      <w:r>
        <w:rPr>
          <w:lang w:val="tg-Cyrl-TJ"/>
        </w:rPr>
        <w:t xml:space="preserve">Зоирджон Шарипов, </w:t>
      </w:r>
      <w:r>
        <w:t>Национальный Координатор Про</w:t>
      </w:r>
      <w:r w:rsidR="00935E41">
        <w:t>граммы</w:t>
      </w:r>
      <w:r>
        <w:t xml:space="preserve"> </w:t>
      </w:r>
      <w:r>
        <w:rPr>
          <w:lang w:val="en-US"/>
        </w:rPr>
        <w:t>EGED</w:t>
      </w:r>
      <w:r w:rsidRPr="002D1B4F">
        <w:t xml:space="preserve"> </w:t>
      </w:r>
      <w:r>
        <w:rPr>
          <w:lang w:val="tg-Cyrl-TJ"/>
        </w:rPr>
        <w:t>в Таджикистане.</w:t>
      </w:r>
    </w:p>
    <w:p w14:paraId="486BF4EA" w14:textId="51F77F5B" w:rsidR="00181104" w:rsidRPr="00181104" w:rsidRDefault="00181104" w:rsidP="008F178C">
      <w:pPr>
        <w:pStyle w:val="ac"/>
        <w:ind w:firstLine="708"/>
        <w:jc w:val="both"/>
      </w:pPr>
      <w:r w:rsidRPr="00181104">
        <w:t xml:space="preserve">По итогам обсуждения </w:t>
      </w:r>
      <w:r w:rsidR="007E61CD">
        <w:t>участниками был выработан</w:t>
      </w:r>
      <w:r w:rsidRPr="00181104">
        <w:t xml:space="preserve"> ряд рекомендаций, направленных на совершенствование системы управления местным экономическим развитием в Таджикистане:</w:t>
      </w:r>
    </w:p>
    <w:p w14:paraId="709F8B79" w14:textId="77777777" w:rsidR="00181104" w:rsidRPr="00181104" w:rsidRDefault="00181104" w:rsidP="00AB42E7">
      <w:pPr>
        <w:pStyle w:val="ac"/>
        <w:numPr>
          <w:ilvl w:val="0"/>
          <w:numId w:val="2"/>
        </w:numPr>
        <w:jc w:val="both"/>
      </w:pPr>
      <w:r w:rsidRPr="00181104">
        <w:t xml:space="preserve">усилить роль </w:t>
      </w:r>
      <w:proofErr w:type="spellStart"/>
      <w:r w:rsidRPr="00181104">
        <w:t>джамоатов</w:t>
      </w:r>
      <w:proofErr w:type="spellEnd"/>
      <w:r w:rsidRPr="00181104">
        <w:t xml:space="preserve"> в планировании и управлении местным экономическим развитием;</w:t>
      </w:r>
    </w:p>
    <w:p w14:paraId="33B69253" w14:textId="77777777" w:rsidR="00181104" w:rsidRPr="00181104" w:rsidRDefault="00181104" w:rsidP="00AB42E7">
      <w:pPr>
        <w:pStyle w:val="ac"/>
        <w:numPr>
          <w:ilvl w:val="0"/>
          <w:numId w:val="2"/>
        </w:numPr>
        <w:jc w:val="both"/>
      </w:pPr>
      <w:r w:rsidRPr="00181104">
        <w:t>внедрять основанные на данных подходы к прогнозированию экономического роста и социального развития территорий;</w:t>
      </w:r>
    </w:p>
    <w:p w14:paraId="7E184D3F" w14:textId="77777777" w:rsidR="00181104" w:rsidRPr="00181104" w:rsidRDefault="00181104" w:rsidP="00AB42E7">
      <w:pPr>
        <w:pStyle w:val="ac"/>
        <w:numPr>
          <w:ilvl w:val="0"/>
          <w:numId w:val="2"/>
        </w:numPr>
        <w:jc w:val="both"/>
      </w:pPr>
      <w:r w:rsidRPr="00181104">
        <w:t>обеспечить интеграцию показателей местного развития в систему мониторинга национальных стратегических документов;</w:t>
      </w:r>
    </w:p>
    <w:p w14:paraId="05585497" w14:textId="77777777" w:rsidR="00181104" w:rsidRPr="00181104" w:rsidRDefault="00181104" w:rsidP="00AB42E7">
      <w:pPr>
        <w:pStyle w:val="ac"/>
        <w:numPr>
          <w:ilvl w:val="0"/>
          <w:numId w:val="2"/>
        </w:numPr>
        <w:jc w:val="both"/>
      </w:pPr>
      <w:r w:rsidRPr="00181104">
        <w:t xml:space="preserve">расширять практику поддержки экономических </w:t>
      </w:r>
      <w:proofErr w:type="spellStart"/>
      <w:r w:rsidRPr="00181104">
        <w:t>микропроектов</w:t>
      </w:r>
      <w:proofErr w:type="spellEnd"/>
      <w:r w:rsidRPr="00181104">
        <w:t xml:space="preserve"> как инструмента стимулирования предпринимательства и внутренних инвестиций;</w:t>
      </w:r>
    </w:p>
    <w:p w14:paraId="28B1CB25" w14:textId="77777777" w:rsidR="00181104" w:rsidRPr="00181104" w:rsidRDefault="00181104" w:rsidP="00AB42E7">
      <w:pPr>
        <w:pStyle w:val="ac"/>
        <w:numPr>
          <w:ilvl w:val="0"/>
          <w:numId w:val="2"/>
        </w:numPr>
        <w:jc w:val="both"/>
      </w:pPr>
      <w:r w:rsidRPr="00181104">
        <w:t>укреплять партнерство между государственными органами, гражданским обществом и частным сектором;</w:t>
      </w:r>
    </w:p>
    <w:p w14:paraId="47CB1D50" w14:textId="77777777" w:rsidR="00181104" w:rsidRPr="00181104" w:rsidRDefault="00181104" w:rsidP="00AB42E7">
      <w:pPr>
        <w:pStyle w:val="ac"/>
        <w:numPr>
          <w:ilvl w:val="0"/>
          <w:numId w:val="2"/>
        </w:numPr>
        <w:jc w:val="both"/>
      </w:pPr>
      <w:r w:rsidRPr="00181104">
        <w:t>распространять успешный опыт реализации местных инициатив в других регионах страны.</w:t>
      </w:r>
    </w:p>
    <w:p w14:paraId="68A4A47B" w14:textId="6639ECD0" w:rsidR="00C6771B" w:rsidRPr="00366FD8" w:rsidRDefault="00181104" w:rsidP="002D1B4F">
      <w:pPr>
        <w:pStyle w:val="ac"/>
        <w:ind w:firstLine="708"/>
        <w:jc w:val="both"/>
      </w:pPr>
      <w:r w:rsidRPr="00181104">
        <w:t>Участники круглого стола выразили готовность продолжить сотрудничество по развитию инструментов местного экономического развития и совершенствованию механизмов планирования, способствующих достижению целей Программы среднесрочного развития Республики Таджикистан на 2026–2030 годы.</w:t>
      </w:r>
    </w:p>
    <w:sectPr w:rsidR="00C6771B" w:rsidRPr="00366FD8" w:rsidSect="008F178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FD65" w14:textId="77777777" w:rsidR="00913184" w:rsidRDefault="00913184" w:rsidP="008F178C">
      <w:pPr>
        <w:spacing w:after="0" w:line="240" w:lineRule="auto"/>
      </w:pPr>
      <w:r>
        <w:separator/>
      </w:r>
    </w:p>
  </w:endnote>
  <w:endnote w:type="continuationSeparator" w:id="0">
    <w:p w14:paraId="0BCAB7E3" w14:textId="77777777" w:rsidR="00913184" w:rsidRDefault="00913184" w:rsidP="008F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B4AF" w14:textId="77777777" w:rsidR="00913184" w:rsidRDefault="00913184" w:rsidP="008F178C">
      <w:pPr>
        <w:spacing w:after="0" w:line="240" w:lineRule="auto"/>
      </w:pPr>
      <w:r>
        <w:separator/>
      </w:r>
    </w:p>
  </w:footnote>
  <w:footnote w:type="continuationSeparator" w:id="0">
    <w:p w14:paraId="0CF45E2B" w14:textId="77777777" w:rsidR="00913184" w:rsidRDefault="00913184" w:rsidP="008F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8"/>
      <w:gridCol w:w="3126"/>
      <w:gridCol w:w="3111"/>
    </w:tblGrid>
    <w:tr w:rsidR="008F178C" w14:paraId="619E862E" w14:textId="77777777" w:rsidTr="007E61CD">
      <w:tc>
        <w:tcPr>
          <w:tcW w:w="3118" w:type="dxa"/>
        </w:tcPr>
        <w:p w14:paraId="5A6050DA" w14:textId="77777777" w:rsidR="008F178C" w:rsidRDefault="008F178C" w:rsidP="008F178C">
          <w:pPr>
            <w:pStyle w:val="ad"/>
            <w:contextualSpacing/>
            <w:rPr>
              <w:noProof/>
            </w:rPr>
          </w:pPr>
        </w:p>
      </w:tc>
      <w:tc>
        <w:tcPr>
          <w:tcW w:w="3126" w:type="dxa"/>
        </w:tcPr>
        <w:p w14:paraId="3C0AA3F2" w14:textId="77777777" w:rsidR="008F178C" w:rsidRPr="006816F8" w:rsidRDefault="008F178C" w:rsidP="008F178C">
          <w:pPr>
            <w:pStyle w:val="ad"/>
            <w:contextualSpacing/>
            <w:jc w:val="center"/>
            <w:rPr>
              <w:noProof/>
            </w:rPr>
          </w:pPr>
        </w:p>
      </w:tc>
      <w:tc>
        <w:tcPr>
          <w:tcW w:w="3111" w:type="dxa"/>
        </w:tcPr>
        <w:p w14:paraId="7F405234" w14:textId="77777777" w:rsidR="008F178C" w:rsidRDefault="008F178C" w:rsidP="008F178C">
          <w:pPr>
            <w:pStyle w:val="ad"/>
            <w:contextualSpacing/>
            <w:jc w:val="right"/>
            <w:rPr>
              <w:noProof/>
            </w:rPr>
          </w:pPr>
        </w:p>
      </w:tc>
    </w:tr>
    <w:tr w:rsidR="008F178C" w14:paraId="68C144DC" w14:textId="77777777" w:rsidTr="007E61CD">
      <w:tc>
        <w:tcPr>
          <w:tcW w:w="3118" w:type="dxa"/>
        </w:tcPr>
        <w:p w14:paraId="198E8521" w14:textId="77777777" w:rsidR="008F178C" w:rsidRDefault="008F178C" w:rsidP="008F178C">
          <w:pPr>
            <w:pStyle w:val="ad"/>
            <w:contextualSpacing/>
          </w:pPr>
          <w:r>
            <w:rPr>
              <w:noProof/>
            </w:rPr>
            <w:drawing>
              <wp:inline distT="0" distB="0" distL="0" distR="0" wp14:anchorId="597B99D7" wp14:editId="75C9B8D9">
                <wp:extent cx="889000" cy="889000"/>
                <wp:effectExtent l="0" t="0" r="635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</w:tcPr>
        <w:p w14:paraId="0B96047B" w14:textId="77777777" w:rsidR="008F178C" w:rsidRDefault="008F178C" w:rsidP="008F178C">
          <w:pPr>
            <w:pStyle w:val="ad"/>
            <w:contextualSpacing/>
            <w:jc w:val="center"/>
          </w:pPr>
          <w:r w:rsidRPr="006816F8">
            <w:rPr>
              <w:noProof/>
            </w:rPr>
            <w:drawing>
              <wp:inline distT="0" distB="0" distL="0" distR="0" wp14:anchorId="56C564AD" wp14:editId="6DB426D3">
                <wp:extent cx="927100" cy="967718"/>
                <wp:effectExtent l="0" t="0" r="6350" b="444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760" cy="97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1" w:type="dxa"/>
        </w:tcPr>
        <w:p w14:paraId="15368CB9" w14:textId="77777777" w:rsidR="008F178C" w:rsidRDefault="008F178C" w:rsidP="008F178C">
          <w:pPr>
            <w:pStyle w:val="ad"/>
            <w:contextualSpacing/>
            <w:jc w:val="right"/>
          </w:pPr>
          <w:r>
            <w:rPr>
              <w:noProof/>
            </w:rPr>
            <w:drawing>
              <wp:inline distT="0" distB="0" distL="0" distR="0" wp14:anchorId="33424EA9" wp14:editId="11D0735A">
                <wp:extent cx="857885" cy="836170"/>
                <wp:effectExtent l="0" t="0" r="0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734" cy="848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E61CD" w:rsidRPr="008F178C" w14:paraId="2D147EE0" w14:textId="77777777" w:rsidTr="007E61CD">
      <w:tc>
        <w:tcPr>
          <w:tcW w:w="3118" w:type="dxa"/>
        </w:tcPr>
        <w:p w14:paraId="64F6F369" w14:textId="77777777" w:rsidR="008F178C" w:rsidRPr="008F178C" w:rsidRDefault="008F178C" w:rsidP="008F178C">
          <w:pPr>
            <w:pStyle w:val="ad"/>
            <w:contextualSpacing/>
            <w:rPr>
              <w:noProof/>
              <w:color w:val="215E99" w:themeColor="text2" w:themeTint="BF"/>
            </w:rPr>
          </w:pPr>
        </w:p>
        <w:p w14:paraId="4275CB9E" w14:textId="77777777" w:rsidR="008F178C" w:rsidRPr="008F178C" w:rsidRDefault="008F178C" w:rsidP="008F178C">
          <w:pPr>
            <w:spacing w:after="160" w:line="278" w:lineRule="auto"/>
            <w:rPr>
              <w:b/>
              <w:bCs/>
              <w:color w:val="215E99" w:themeColor="text2" w:themeTint="BF"/>
            </w:rPr>
          </w:pPr>
        </w:p>
        <w:p w14:paraId="4AA201AB" w14:textId="6A0977B7" w:rsidR="008F178C" w:rsidRPr="008F178C" w:rsidRDefault="008F178C" w:rsidP="008F178C">
          <w:pPr>
            <w:spacing w:after="160" w:line="278" w:lineRule="auto"/>
            <w:ind w:left="-107"/>
            <w:rPr>
              <w:noProof/>
              <w:color w:val="215E99" w:themeColor="text2" w:themeTint="BF"/>
            </w:rPr>
          </w:pPr>
          <w:r w:rsidRPr="00181104">
            <w:rPr>
              <w:b/>
              <w:bCs/>
              <w:color w:val="215E99" w:themeColor="text2" w:themeTint="BF"/>
              <w:sz w:val="28"/>
              <w:szCs w:val="28"/>
            </w:rPr>
            <w:t>ПРЕСС-РЕЛИЗ</w:t>
          </w:r>
          <w:r w:rsidR="007E61CD">
            <w:rPr>
              <w:b/>
              <w:bCs/>
              <w:color w:val="215E99" w:themeColor="text2" w:themeTint="BF"/>
              <w:sz w:val="28"/>
              <w:szCs w:val="28"/>
            </w:rPr>
            <w:t xml:space="preserve"> </w:t>
          </w:r>
        </w:p>
      </w:tc>
      <w:tc>
        <w:tcPr>
          <w:tcW w:w="3126" w:type="dxa"/>
        </w:tcPr>
        <w:p w14:paraId="4426C74D" w14:textId="77777777" w:rsidR="008F178C" w:rsidRPr="008F178C" w:rsidRDefault="008F178C" w:rsidP="008F178C">
          <w:pPr>
            <w:pStyle w:val="ad"/>
            <w:contextualSpacing/>
            <w:jc w:val="center"/>
            <w:rPr>
              <w:noProof/>
              <w:color w:val="215E99" w:themeColor="text2" w:themeTint="BF"/>
            </w:rPr>
          </w:pPr>
        </w:p>
      </w:tc>
      <w:tc>
        <w:tcPr>
          <w:tcW w:w="3111" w:type="dxa"/>
        </w:tcPr>
        <w:p w14:paraId="1EB8A812" w14:textId="2157C4BB" w:rsidR="007E61CD" w:rsidRPr="007E61CD" w:rsidRDefault="007E61CD" w:rsidP="007E61CD">
          <w:pPr>
            <w:jc w:val="both"/>
            <w:rPr>
              <w:b/>
              <w:bCs/>
            </w:rPr>
          </w:pPr>
        </w:p>
      </w:tc>
    </w:tr>
  </w:tbl>
  <w:p w14:paraId="6440C552" w14:textId="77777777" w:rsidR="008F178C" w:rsidRDefault="008F178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95F43"/>
    <w:multiLevelType w:val="hybridMultilevel"/>
    <w:tmpl w:val="95F2D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E4328"/>
    <w:multiLevelType w:val="multilevel"/>
    <w:tmpl w:val="2BB4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9592387">
    <w:abstractNumId w:val="1"/>
  </w:num>
  <w:num w:numId="2" w16cid:durableId="16555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69"/>
    <w:rsid w:val="00102686"/>
    <w:rsid w:val="0013024D"/>
    <w:rsid w:val="00181104"/>
    <w:rsid w:val="001D6A2F"/>
    <w:rsid w:val="001E429A"/>
    <w:rsid w:val="001F3869"/>
    <w:rsid w:val="002A2201"/>
    <w:rsid w:val="002A78A1"/>
    <w:rsid w:val="002D1B4F"/>
    <w:rsid w:val="003508F7"/>
    <w:rsid w:val="00366FD8"/>
    <w:rsid w:val="00453F39"/>
    <w:rsid w:val="004576AD"/>
    <w:rsid w:val="004D3772"/>
    <w:rsid w:val="004F5040"/>
    <w:rsid w:val="00524DA3"/>
    <w:rsid w:val="005C0BA0"/>
    <w:rsid w:val="005F2FA8"/>
    <w:rsid w:val="006143E5"/>
    <w:rsid w:val="0065284E"/>
    <w:rsid w:val="006B69D2"/>
    <w:rsid w:val="006F2090"/>
    <w:rsid w:val="007E61CD"/>
    <w:rsid w:val="007F0580"/>
    <w:rsid w:val="008F178C"/>
    <w:rsid w:val="00913184"/>
    <w:rsid w:val="00935E41"/>
    <w:rsid w:val="009726A8"/>
    <w:rsid w:val="00A73C3B"/>
    <w:rsid w:val="00AB42E7"/>
    <w:rsid w:val="00AD3802"/>
    <w:rsid w:val="00B07884"/>
    <w:rsid w:val="00C6771B"/>
    <w:rsid w:val="00E03A16"/>
    <w:rsid w:val="00E04A06"/>
    <w:rsid w:val="00E0694A"/>
    <w:rsid w:val="00F278F1"/>
    <w:rsid w:val="00FB6A31"/>
    <w:rsid w:val="00FD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BB07F"/>
  <w15:chartTrackingRefBased/>
  <w15:docId w15:val="{5C2BEBC4-E5F7-462D-BD67-51CC78AC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3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3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3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38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38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38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38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38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38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3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3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3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3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38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38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38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3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38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386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AD3802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8F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F178C"/>
  </w:style>
  <w:style w:type="paragraph" w:styleId="af">
    <w:name w:val="footer"/>
    <w:basedOn w:val="a"/>
    <w:link w:val="af0"/>
    <w:uiPriority w:val="99"/>
    <w:unhideWhenUsed/>
    <w:rsid w:val="008F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F178C"/>
  </w:style>
  <w:style w:type="table" w:styleId="af1">
    <w:name w:val="Table Grid"/>
    <w:basedOn w:val="a1"/>
    <w:uiPriority w:val="39"/>
    <w:rsid w:val="008F178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2A78A1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1E429A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1E429A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1E429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E429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E4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1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8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4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Jamankulova</dc:creator>
  <cp:keywords/>
  <dc:description/>
  <cp:lastModifiedBy>Nurgul Jamankulova</cp:lastModifiedBy>
  <cp:revision>4</cp:revision>
  <dcterms:created xsi:type="dcterms:W3CDTF">2026-06-08T01:21:00Z</dcterms:created>
  <dcterms:modified xsi:type="dcterms:W3CDTF">2026-06-08T01:26:00Z</dcterms:modified>
</cp:coreProperties>
</file>