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B0A26" w14:textId="5312FC9E" w:rsidR="002C0EFB" w:rsidRDefault="00DE6BF4" w:rsidP="002C0EFB">
      <w:pPr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6AE4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8A7A86" wp14:editId="608ABB93">
            <wp:simplePos x="0" y="0"/>
            <wp:positionH relativeFrom="column">
              <wp:posOffset>1103299</wp:posOffset>
            </wp:positionH>
            <wp:positionV relativeFrom="paragraph">
              <wp:posOffset>-2403</wp:posOffset>
            </wp:positionV>
            <wp:extent cx="1266825" cy="930303"/>
            <wp:effectExtent l="0" t="0" r="0" b="317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3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AE4" w:rsidRPr="006D6AE4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65030C9" wp14:editId="6E746B2F">
            <wp:simplePos x="0" y="0"/>
            <wp:positionH relativeFrom="column">
              <wp:posOffset>2773073</wp:posOffset>
            </wp:positionH>
            <wp:positionV relativeFrom="paragraph">
              <wp:posOffset>180478</wp:posOffset>
            </wp:positionV>
            <wp:extent cx="2297927" cy="539750"/>
            <wp:effectExtent l="0" t="0" r="762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27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12F85" w14:textId="25081A94" w:rsidR="002C0EFB" w:rsidRDefault="002C0EFB" w:rsidP="002C0EFB">
      <w:pPr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54B76D3" w14:textId="77777777" w:rsidR="002C0EFB" w:rsidRDefault="002C0EFB" w:rsidP="002C0EFB">
      <w:pPr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B1A4017" w14:textId="77777777" w:rsidR="002C0EFB" w:rsidRDefault="002C0EFB" w:rsidP="002C0EFB">
      <w:pPr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919781E" w14:textId="77777777" w:rsidR="002C0EFB" w:rsidRDefault="002C0EFB" w:rsidP="002C0EFB">
      <w:pPr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8FBAF6E" w14:textId="77777777" w:rsidR="002C0EFB" w:rsidRDefault="002C0EFB" w:rsidP="002C0EFB">
      <w:pPr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4BD8112" w14:textId="77777777" w:rsidR="00742F1A" w:rsidRDefault="00742F1A" w:rsidP="00B346E5">
      <w:pPr>
        <w:spacing w:before="0" w:line="240" w:lineRule="auto"/>
        <w:contextualSpacing/>
        <w:jc w:val="left"/>
        <w:rPr>
          <w:rFonts w:ascii="Times New Roman" w:hAnsi="Times New Roman" w:cs="Times New Roman"/>
          <w:b/>
          <w:sz w:val="28"/>
          <w:szCs w:val="24"/>
        </w:rPr>
      </w:pPr>
    </w:p>
    <w:p w14:paraId="21CA325A" w14:textId="4B381A3A" w:rsidR="0003666F" w:rsidRPr="0003666F" w:rsidRDefault="0003666F" w:rsidP="002C0EFB">
      <w:pPr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666F">
        <w:rPr>
          <w:rFonts w:ascii="Times New Roman" w:hAnsi="Times New Roman" w:cs="Times New Roman"/>
          <w:b/>
          <w:sz w:val="28"/>
          <w:szCs w:val="24"/>
        </w:rPr>
        <w:t>П</w:t>
      </w:r>
      <w:r w:rsidR="000234FC" w:rsidRPr="0003666F">
        <w:rPr>
          <w:rFonts w:ascii="Times New Roman" w:hAnsi="Times New Roman" w:cs="Times New Roman"/>
          <w:b/>
          <w:sz w:val="28"/>
          <w:szCs w:val="24"/>
        </w:rPr>
        <w:t>редложения</w:t>
      </w:r>
      <w:r w:rsidRPr="0003666F">
        <w:rPr>
          <w:rFonts w:ascii="Times New Roman" w:hAnsi="Times New Roman" w:cs="Times New Roman"/>
          <w:b/>
          <w:sz w:val="28"/>
          <w:szCs w:val="24"/>
        </w:rPr>
        <w:t xml:space="preserve"> Союза МСУ КР и Института политики развития</w:t>
      </w:r>
      <w:r w:rsidR="000234F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3666F">
        <w:rPr>
          <w:rFonts w:ascii="Times New Roman" w:hAnsi="Times New Roman" w:cs="Times New Roman"/>
          <w:b/>
          <w:sz w:val="28"/>
          <w:szCs w:val="24"/>
        </w:rPr>
        <w:t>в Б</w:t>
      </w:r>
      <w:r w:rsidR="000234FC" w:rsidRPr="0003666F">
        <w:rPr>
          <w:rFonts w:ascii="Times New Roman" w:hAnsi="Times New Roman" w:cs="Times New Roman"/>
          <w:b/>
          <w:sz w:val="28"/>
          <w:szCs w:val="24"/>
        </w:rPr>
        <w:t xml:space="preserve">юджетную резолюцию </w:t>
      </w:r>
      <w:proofErr w:type="spellStart"/>
      <w:r w:rsidR="000234FC" w:rsidRPr="0003666F">
        <w:rPr>
          <w:rFonts w:ascii="Times New Roman" w:hAnsi="Times New Roman" w:cs="Times New Roman"/>
          <w:b/>
          <w:sz w:val="28"/>
          <w:szCs w:val="24"/>
        </w:rPr>
        <w:t>Жогорку</w:t>
      </w:r>
      <w:proofErr w:type="spellEnd"/>
      <w:r w:rsidR="000234FC" w:rsidRPr="0003666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0234FC" w:rsidRPr="0003666F">
        <w:rPr>
          <w:rFonts w:ascii="Times New Roman" w:hAnsi="Times New Roman" w:cs="Times New Roman"/>
          <w:b/>
          <w:sz w:val="28"/>
          <w:szCs w:val="24"/>
        </w:rPr>
        <w:t>Кенеша</w:t>
      </w:r>
      <w:proofErr w:type="spellEnd"/>
      <w:r w:rsidR="000234FC" w:rsidRPr="0003666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3666F">
        <w:rPr>
          <w:rFonts w:ascii="Times New Roman" w:hAnsi="Times New Roman" w:cs="Times New Roman"/>
          <w:b/>
          <w:sz w:val="28"/>
          <w:szCs w:val="24"/>
        </w:rPr>
        <w:t>КР</w:t>
      </w:r>
    </w:p>
    <w:p w14:paraId="4AF8C161" w14:textId="77777777" w:rsidR="002C0EFB" w:rsidRDefault="002C0EFB" w:rsidP="0003666F">
      <w:pPr>
        <w:spacing w:before="0" w:line="24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050D6902" w14:textId="77777777" w:rsidR="00742F1A" w:rsidRDefault="00742F1A" w:rsidP="0003666F">
      <w:pPr>
        <w:spacing w:before="0" w:line="24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160D76B" w14:textId="5E46DEBF" w:rsidR="0003666F" w:rsidRPr="0003666F" w:rsidRDefault="0003666F" w:rsidP="0003666F">
      <w:pPr>
        <w:spacing w:before="0" w:line="24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r w:rsidRPr="0003666F">
        <w:rPr>
          <w:rFonts w:ascii="Times New Roman" w:hAnsi="Times New Roman" w:cs="Times New Roman"/>
          <w:sz w:val="24"/>
          <w:szCs w:val="24"/>
        </w:rPr>
        <w:t xml:space="preserve">Объединение юридических лиц «Союз местных самоуправлений </w:t>
      </w:r>
      <w:proofErr w:type="spellStart"/>
      <w:r w:rsidRPr="0003666F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03666F">
        <w:rPr>
          <w:rFonts w:ascii="Times New Roman" w:hAnsi="Times New Roman" w:cs="Times New Roman"/>
          <w:sz w:val="24"/>
          <w:szCs w:val="24"/>
        </w:rPr>
        <w:t xml:space="preserve"> Республики» и Институт политики развития выражают озабоченность состоянием местных бюджетов органов МСУ КР. По итогам 2018 года в стране сложилась ситуация, при которой органы местного самоуправления не обладают достаточными финансовыми возможностями ни для качественного решения вопросов местного значения, ни для исполнения задачи развития</w:t>
      </w:r>
      <w:r w:rsidR="00742F1A">
        <w:rPr>
          <w:rFonts w:ascii="Times New Roman" w:hAnsi="Times New Roman" w:cs="Times New Roman"/>
          <w:sz w:val="24"/>
          <w:szCs w:val="24"/>
        </w:rPr>
        <w:t xml:space="preserve"> регионов</w:t>
      </w:r>
      <w:r w:rsidRPr="0003666F">
        <w:rPr>
          <w:rFonts w:ascii="Times New Roman" w:hAnsi="Times New Roman" w:cs="Times New Roman"/>
          <w:sz w:val="24"/>
          <w:szCs w:val="24"/>
        </w:rPr>
        <w:t>, поставленной Президентом КР.</w:t>
      </w:r>
    </w:p>
    <w:p w14:paraId="3107FF74" w14:textId="07755B95" w:rsidR="009B2B2C" w:rsidRDefault="0003666F" w:rsidP="0003666F">
      <w:pPr>
        <w:spacing w:before="0" w:line="24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r w:rsidRPr="0003666F">
        <w:rPr>
          <w:rFonts w:ascii="Times New Roman" w:hAnsi="Times New Roman" w:cs="Times New Roman"/>
          <w:sz w:val="24"/>
          <w:szCs w:val="24"/>
        </w:rPr>
        <w:t xml:space="preserve">Не смотря на </w:t>
      </w:r>
      <w:r w:rsidR="002C0EFB">
        <w:rPr>
          <w:rFonts w:ascii="Times New Roman" w:hAnsi="Times New Roman" w:cs="Times New Roman"/>
          <w:sz w:val="24"/>
          <w:szCs w:val="24"/>
        </w:rPr>
        <w:t xml:space="preserve">указы Президента </w:t>
      </w:r>
      <w:proofErr w:type="spellStart"/>
      <w:r w:rsidR="002C0EFB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2C0EFB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="009B2B2C">
        <w:rPr>
          <w:rFonts w:ascii="Times New Roman" w:hAnsi="Times New Roman" w:cs="Times New Roman"/>
          <w:sz w:val="24"/>
          <w:szCs w:val="24"/>
        </w:rPr>
        <w:t>,</w:t>
      </w:r>
      <w:r w:rsidR="002C0EFB">
        <w:rPr>
          <w:rFonts w:ascii="Times New Roman" w:hAnsi="Times New Roman" w:cs="Times New Roman"/>
          <w:sz w:val="24"/>
          <w:szCs w:val="24"/>
        </w:rPr>
        <w:t xml:space="preserve"> </w:t>
      </w:r>
      <w:r w:rsidRPr="0003666F">
        <w:rPr>
          <w:rFonts w:ascii="Times New Roman" w:hAnsi="Times New Roman" w:cs="Times New Roman"/>
          <w:sz w:val="24"/>
          <w:szCs w:val="24"/>
        </w:rPr>
        <w:t>усилия Правительства и принятые в 2018 году меры, доля доходов местных бюджетов в общих доходах местных и республиканского бюджетов в течение последних пяти лет остается в состоянии стагнации</w:t>
      </w:r>
      <w:r w:rsidR="00954D3B">
        <w:rPr>
          <w:rFonts w:ascii="Times New Roman" w:hAnsi="Times New Roman" w:cs="Times New Roman"/>
          <w:sz w:val="24"/>
          <w:szCs w:val="24"/>
        </w:rPr>
        <w:t>,</w:t>
      </w:r>
      <w:r w:rsidR="009B2B2C">
        <w:rPr>
          <w:rFonts w:ascii="Times New Roman" w:hAnsi="Times New Roman" w:cs="Times New Roman"/>
          <w:sz w:val="24"/>
          <w:szCs w:val="24"/>
        </w:rPr>
        <w:t xml:space="preserve"> </w:t>
      </w:r>
      <w:r w:rsidR="00954D3B" w:rsidRPr="0003666F">
        <w:rPr>
          <w:rFonts w:ascii="Times New Roman" w:hAnsi="Times New Roman" w:cs="Times New Roman"/>
          <w:sz w:val="24"/>
          <w:szCs w:val="24"/>
        </w:rPr>
        <w:t xml:space="preserve">не растет </w:t>
      </w:r>
      <w:r w:rsidR="009B2B2C">
        <w:rPr>
          <w:rFonts w:ascii="Times New Roman" w:hAnsi="Times New Roman" w:cs="Times New Roman"/>
          <w:sz w:val="24"/>
          <w:szCs w:val="24"/>
        </w:rPr>
        <w:t>(см. Диаграмму 1)</w:t>
      </w:r>
      <w:r w:rsidRPr="0003666F">
        <w:rPr>
          <w:rFonts w:ascii="Times New Roman" w:hAnsi="Times New Roman" w:cs="Times New Roman"/>
          <w:sz w:val="24"/>
          <w:szCs w:val="24"/>
        </w:rPr>
        <w:t>, хотя доходы республиканского бюджета растут устойчивыми темпами</w:t>
      </w:r>
      <w:r w:rsidR="009B2B2C">
        <w:rPr>
          <w:rFonts w:ascii="Times New Roman" w:hAnsi="Times New Roman" w:cs="Times New Roman"/>
          <w:sz w:val="24"/>
          <w:szCs w:val="24"/>
        </w:rPr>
        <w:t xml:space="preserve"> (см. Диаграмму 2)</w:t>
      </w:r>
      <w:r w:rsidRPr="0003666F">
        <w:rPr>
          <w:rFonts w:ascii="Times New Roman" w:hAnsi="Times New Roman" w:cs="Times New Roman"/>
          <w:sz w:val="24"/>
          <w:szCs w:val="24"/>
        </w:rPr>
        <w:t>. Это означает, что распределение доходов между местными и республиканским бюджетами никак не учитывает приоритеты страны в отношении регионального развития. В абсолютном выражении совокупный объем местных бюджетов в 2018 году даже снизился, по сравнению с 2017 годом.</w:t>
      </w:r>
      <w:r w:rsidR="009B2B2C">
        <w:rPr>
          <w:rFonts w:ascii="Times New Roman" w:hAnsi="Times New Roman" w:cs="Times New Roman"/>
          <w:sz w:val="24"/>
          <w:szCs w:val="24"/>
        </w:rPr>
        <w:t xml:space="preserve"> В результате, органам МСУ не хватает ресурсов для качественного исполнения собственных функций и делегированных государством полномочий. </w:t>
      </w:r>
    </w:p>
    <w:p w14:paraId="6E82208E" w14:textId="77777777" w:rsidR="00742F1A" w:rsidRDefault="00742F1A" w:rsidP="009B2B2C">
      <w:pPr>
        <w:spacing w:before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CA148C" w14:textId="5904D8E9" w:rsidR="0003666F" w:rsidRPr="009B2B2C" w:rsidRDefault="009B2B2C" w:rsidP="009B2B2C">
      <w:pPr>
        <w:spacing w:before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2B2C">
        <w:rPr>
          <w:rFonts w:ascii="Times New Roman" w:hAnsi="Times New Roman" w:cs="Times New Roman"/>
          <w:i/>
          <w:sz w:val="24"/>
          <w:szCs w:val="24"/>
        </w:rPr>
        <w:t>Диаграмма 1. Динамика доходов местных бюджетов, 2010-2018 гг.</w:t>
      </w:r>
    </w:p>
    <w:p w14:paraId="7982F6FA" w14:textId="594279B1" w:rsidR="0003666F" w:rsidRDefault="0003666F" w:rsidP="0003666F">
      <w:pPr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66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4363F9" wp14:editId="71DE4CF0">
            <wp:extent cx="6124575" cy="25431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27D595" w14:textId="67339072" w:rsidR="00742F1A" w:rsidRDefault="00742F1A" w:rsidP="009B2B2C">
      <w:pPr>
        <w:spacing w:before="0" w:line="24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68748450" w14:textId="742EC6A4" w:rsidR="009B2B2C" w:rsidRPr="009B2B2C" w:rsidRDefault="009B2B2C" w:rsidP="009B2B2C">
      <w:pPr>
        <w:spacing w:before="0" w:line="24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каждый год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3B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954D3B">
        <w:rPr>
          <w:rFonts w:ascii="Times New Roman" w:hAnsi="Times New Roman" w:cs="Times New Roman"/>
          <w:sz w:val="24"/>
          <w:szCs w:val="24"/>
        </w:rPr>
        <w:t xml:space="preserve"> Республики </w:t>
      </w:r>
      <w:r>
        <w:rPr>
          <w:rFonts w:ascii="Times New Roman" w:hAnsi="Times New Roman" w:cs="Times New Roman"/>
          <w:sz w:val="24"/>
          <w:szCs w:val="24"/>
        </w:rPr>
        <w:t>расширяет число функций органов местного самоуправления без соответствующего подкрепления</w:t>
      </w:r>
      <w:r w:rsidR="00954D3B">
        <w:rPr>
          <w:rFonts w:ascii="Times New Roman" w:hAnsi="Times New Roman" w:cs="Times New Roman"/>
          <w:sz w:val="24"/>
          <w:szCs w:val="24"/>
        </w:rPr>
        <w:t xml:space="preserve"> финансовыми ресурсами. Т</w:t>
      </w:r>
      <w:r>
        <w:rPr>
          <w:rFonts w:ascii="Times New Roman" w:hAnsi="Times New Roman" w:cs="Times New Roman"/>
          <w:sz w:val="24"/>
          <w:szCs w:val="24"/>
        </w:rPr>
        <w:t>ак, за последние годы в число вопросов местного значения добавились вопросы развития туризма, семейного насилия, пробации. Регулярно выдвигаются новые инициативы по расширению функций МСУ, например, в отношении здравоохранения и других вопросов</w:t>
      </w:r>
      <w:r w:rsidR="00954D3B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о никогда в этих инициативах не учитывается то, что бесконечно</w:t>
      </w:r>
      <w:r w:rsidR="00954D3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расширение функций органов МСУ без изменения распределения доходов между местными и </w:t>
      </w:r>
      <w:r>
        <w:rPr>
          <w:rFonts w:ascii="Times New Roman" w:hAnsi="Times New Roman" w:cs="Times New Roman"/>
          <w:sz w:val="24"/>
          <w:szCs w:val="24"/>
        </w:rPr>
        <w:lastRenderedPageBreak/>
        <w:t>республиканским бюджетами в конечном итоге может привести к полному параличу органов местного самоуправления, их абсолютной неспособности справляться с неконтролируемым числом полномочий и обязанностей.</w:t>
      </w:r>
    </w:p>
    <w:p w14:paraId="5FDC1FF9" w14:textId="77777777" w:rsidR="00742F1A" w:rsidRDefault="00742F1A" w:rsidP="009B2B2C">
      <w:pPr>
        <w:spacing w:before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A382F1F" w14:textId="4AED4007" w:rsidR="009B2B2C" w:rsidRPr="009B2B2C" w:rsidRDefault="009B2B2C" w:rsidP="009B2B2C">
      <w:pPr>
        <w:spacing w:before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2B2C">
        <w:rPr>
          <w:rFonts w:ascii="Times New Roman" w:hAnsi="Times New Roman" w:cs="Times New Roman"/>
          <w:i/>
          <w:sz w:val="24"/>
          <w:szCs w:val="24"/>
        </w:rPr>
        <w:t>Диаграмма 2. Динамика роста республиканского и местных бюджетов, 2010-2018 гг.</w:t>
      </w:r>
    </w:p>
    <w:p w14:paraId="1B34F2A0" w14:textId="1AC337A5" w:rsidR="0003666F" w:rsidRPr="0003666F" w:rsidRDefault="0003666F" w:rsidP="0003666F">
      <w:pPr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66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3A6904" wp14:editId="39BA41D9">
            <wp:extent cx="6124575" cy="29813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86891EB" w14:textId="5AC6BCF9" w:rsidR="009B2B2C" w:rsidRDefault="009B2B2C" w:rsidP="0003666F">
      <w:pPr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4C92F8" w14:textId="049ACDC1" w:rsidR="00742F1A" w:rsidRDefault="00742F1A" w:rsidP="00742F1A">
      <w:pPr>
        <w:spacing w:before="0" w:line="240" w:lineRule="auto"/>
        <w:ind w:firstLine="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2F1A">
        <w:rPr>
          <w:rFonts w:ascii="Times New Roman" w:hAnsi="Times New Roman" w:cs="Times New Roman"/>
          <w:b/>
          <w:sz w:val="24"/>
          <w:szCs w:val="24"/>
        </w:rPr>
        <w:t xml:space="preserve">В связи ухудшающимся состоянием местных бюджетов, а также необходимостью решения приоритетных задач </w:t>
      </w:r>
      <w:proofErr w:type="spellStart"/>
      <w:r w:rsidRPr="00742F1A">
        <w:rPr>
          <w:rFonts w:ascii="Times New Roman" w:hAnsi="Times New Roman" w:cs="Times New Roman"/>
          <w:b/>
          <w:sz w:val="24"/>
          <w:szCs w:val="24"/>
        </w:rPr>
        <w:t>Кыргызской</w:t>
      </w:r>
      <w:proofErr w:type="spellEnd"/>
      <w:r w:rsidRPr="00742F1A">
        <w:rPr>
          <w:rFonts w:ascii="Times New Roman" w:hAnsi="Times New Roman" w:cs="Times New Roman"/>
          <w:b/>
          <w:sz w:val="24"/>
          <w:szCs w:val="24"/>
        </w:rPr>
        <w:t xml:space="preserve"> Республики в сфере развития регионов, просим </w:t>
      </w:r>
      <w:proofErr w:type="spellStart"/>
      <w:r w:rsidRPr="00742F1A">
        <w:rPr>
          <w:rFonts w:ascii="Times New Roman" w:hAnsi="Times New Roman" w:cs="Times New Roman"/>
          <w:b/>
          <w:sz w:val="24"/>
          <w:szCs w:val="24"/>
        </w:rPr>
        <w:t>Жогорку</w:t>
      </w:r>
      <w:proofErr w:type="spellEnd"/>
      <w:r w:rsidRPr="00742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2F1A">
        <w:rPr>
          <w:rFonts w:ascii="Times New Roman" w:hAnsi="Times New Roman" w:cs="Times New Roman"/>
          <w:b/>
          <w:sz w:val="24"/>
          <w:szCs w:val="24"/>
        </w:rPr>
        <w:t>Кенеш</w:t>
      </w:r>
      <w:proofErr w:type="spellEnd"/>
      <w:r w:rsidRPr="00742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2F1A">
        <w:rPr>
          <w:rFonts w:ascii="Times New Roman" w:hAnsi="Times New Roman" w:cs="Times New Roman"/>
          <w:b/>
          <w:sz w:val="24"/>
          <w:szCs w:val="24"/>
        </w:rPr>
        <w:t>Кыргызской</w:t>
      </w:r>
      <w:proofErr w:type="spellEnd"/>
      <w:r w:rsidRPr="00742F1A">
        <w:rPr>
          <w:rFonts w:ascii="Times New Roman" w:hAnsi="Times New Roman" w:cs="Times New Roman"/>
          <w:b/>
          <w:sz w:val="24"/>
          <w:szCs w:val="24"/>
        </w:rPr>
        <w:t xml:space="preserve"> Республики установить в Бюджетной резолюции требование о то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42F1A">
        <w:rPr>
          <w:rFonts w:ascii="Times New Roman" w:hAnsi="Times New Roman" w:cs="Times New Roman"/>
          <w:b/>
          <w:sz w:val="24"/>
          <w:szCs w:val="24"/>
        </w:rPr>
        <w:t>, что доля доходов местных бюджетов в общем объеме государственных бюджетных доходов должна быть увеличена до 20 процентов в 2020 году и до 25 процентов в 2022 году.</w:t>
      </w:r>
      <w:r w:rsidR="00954D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8774DB" w14:textId="61168CC2" w:rsidR="00954D3B" w:rsidRDefault="00954D3B" w:rsidP="00742F1A">
      <w:pPr>
        <w:spacing w:before="0" w:line="240" w:lineRule="auto"/>
        <w:ind w:firstLine="113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Также просим ввести запрет на расширение перечня вопросов местного значения без внесения соответствующих изменений в межбюджетные отношения.</w:t>
      </w:r>
    </w:p>
    <w:p w14:paraId="4039817B" w14:textId="77777777" w:rsidR="00742F1A" w:rsidRPr="00742F1A" w:rsidRDefault="00742F1A" w:rsidP="00742F1A">
      <w:pPr>
        <w:spacing w:before="0" w:line="240" w:lineRule="auto"/>
        <w:ind w:firstLine="113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BD17741" w14:textId="4352739C" w:rsidR="00B60A03" w:rsidRPr="0003666F" w:rsidRDefault="009B2B2C" w:rsidP="009B2B2C">
      <w:pPr>
        <w:spacing w:before="0" w:line="24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</w:t>
      </w:r>
      <w:r w:rsidR="00A5494B" w:rsidRPr="0003666F">
        <w:rPr>
          <w:rFonts w:ascii="Times New Roman" w:hAnsi="Times New Roman" w:cs="Times New Roman"/>
          <w:sz w:val="24"/>
          <w:szCs w:val="24"/>
        </w:rPr>
        <w:t>редлагается включить в Бюджетную Резолюцию ЖК КР на 2020-2022 гг. в целях улучшения состояния местных бюджетов</w:t>
      </w:r>
      <w:r w:rsidR="00742F1A" w:rsidRPr="00742F1A">
        <w:rPr>
          <w:rFonts w:ascii="Times New Roman" w:hAnsi="Times New Roman" w:cs="Times New Roman"/>
          <w:sz w:val="24"/>
          <w:szCs w:val="24"/>
        </w:rPr>
        <w:t xml:space="preserve"> </w:t>
      </w:r>
      <w:r w:rsidR="00742F1A" w:rsidRPr="0003666F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742F1A">
        <w:rPr>
          <w:rFonts w:ascii="Times New Roman" w:hAnsi="Times New Roman" w:cs="Times New Roman"/>
          <w:sz w:val="24"/>
          <w:szCs w:val="24"/>
        </w:rPr>
        <w:t>направления</w:t>
      </w:r>
      <w:r w:rsidR="00742F1A" w:rsidRPr="0003666F">
        <w:rPr>
          <w:rFonts w:ascii="Times New Roman" w:hAnsi="Times New Roman" w:cs="Times New Roman"/>
          <w:sz w:val="24"/>
          <w:szCs w:val="24"/>
        </w:rPr>
        <w:t xml:space="preserve"> совершенствования межбюджетных отношений</w:t>
      </w:r>
      <w:r w:rsidR="00A5494B" w:rsidRPr="0003666F">
        <w:rPr>
          <w:rFonts w:ascii="Times New Roman" w:hAnsi="Times New Roman" w:cs="Times New Roman"/>
          <w:sz w:val="24"/>
          <w:szCs w:val="24"/>
        </w:rPr>
        <w:t>:</w:t>
      </w:r>
    </w:p>
    <w:p w14:paraId="1DD8C39E" w14:textId="7401773E" w:rsidR="00B60A03" w:rsidRPr="0003666F" w:rsidRDefault="00B60A03" w:rsidP="00742F1A">
      <w:pPr>
        <w:pStyle w:val="a7"/>
        <w:numPr>
          <w:ilvl w:val="0"/>
          <w:numId w:val="1"/>
        </w:numPr>
        <w:spacing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3666F">
        <w:rPr>
          <w:rFonts w:ascii="Times New Roman" w:hAnsi="Times New Roman" w:cs="Times New Roman"/>
          <w:sz w:val="24"/>
          <w:szCs w:val="24"/>
        </w:rPr>
        <w:t>Определить цели политики выравнивания бюджетной обеспеченности для районов и городов</w:t>
      </w:r>
      <w:r w:rsidR="004362A6" w:rsidRPr="0003666F">
        <w:rPr>
          <w:rFonts w:ascii="Times New Roman" w:hAnsi="Times New Roman" w:cs="Times New Roman"/>
          <w:sz w:val="24"/>
          <w:szCs w:val="24"/>
        </w:rPr>
        <w:t xml:space="preserve"> </w:t>
      </w:r>
      <w:r w:rsidR="008F0BDC" w:rsidRPr="0003666F">
        <w:rPr>
          <w:rFonts w:ascii="Times New Roman" w:hAnsi="Times New Roman" w:cs="Times New Roman"/>
          <w:sz w:val="24"/>
          <w:szCs w:val="24"/>
        </w:rPr>
        <w:t>(выравнивание для развития (точки роста) и выравнивание для соблюдения конституционных гарантий</w:t>
      </w:r>
      <w:r w:rsidR="00E813A2" w:rsidRPr="0003666F">
        <w:rPr>
          <w:rFonts w:ascii="Times New Roman" w:hAnsi="Times New Roman" w:cs="Times New Roman"/>
          <w:sz w:val="24"/>
          <w:szCs w:val="24"/>
        </w:rPr>
        <w:t>)</w:t>
      </w:r>
      <w:r w:rsidR="007E6774" w:rsidRPr="0003666F">
        <w:rPr>
          <w:rFonts w:ascii="Times New Roman" w:hAnsi="Times New Roman" w:cs="Times New Roman"/>
          <w:sz w:val="24"/>
          <w:szCs w:val="24"/>
        </w:rPr>
        <w:t>. Разработ</w:t>
      </w:r>
      <w:r w:rsidR="00F7372B" w:rsidRPr="0003666F">
        <w:rPr>
          <w:rFonts w:ascii="Times New Roman" w:hAnsi="Times New Roman" w:cs="Times New Roman"/>
          <w:sz w:val="24"/>
          <w:szCs w:val="24"/>
        </w:rPr>
        <w:t>ать</w:t>
      </w:r>
      <w:r w:rsidR="007E6774" w:rsidRPr="0003666F">
        <w:rPr>
          <w:rFonts w:ascii="Times New Roman" w:hAnsi="Times New Roman" w:cs="Times New Roman"/>
          <w:sz w:val="24"/>
          <w:szCs w:val="24"/>
        </w:rPr>
        <w:t xml:space="preserve"> </w:t>
      </w:r>
      <w:r w:rsidR="00F7372B" w:rsidRPr="0003666F">
        <w:rPr>
          <w:rFonts w:ascii="Times New Roman" w:hAnsi="Times New Roman" w:cs="Times New Roman"/>
          <w:sz w:val="24"/>
          <w:szCs w:val="24"/>
        </w:rPr>
        <w:t xml:space="preserve">и внедрить </w:t>
      </w:r>
      <w:r w:rsidR="007E6774" w:rsidRPr="0003666F">
        <w:rPr>
          <w:rFonts w:ascii="Times New Roman" w:hAnsi="Times New Roman" w:cs="Times New Roman"/>
          <w:sz w:val="24"/>
          <w:szCs w:val="24"/>
        </w:rPr>
        <w:t>новы</w:t>
      </w:r>
      <w:r w:rsidR="00F7372B" w:rsidRPr="0003666F">
        <w:rPr>
          <w:rFonts w:ascii="Times New Roman" w:hAnsi="Times New Roman" w:cs="Times New Roman"/>
          <w:sz w:val="24"/>
          <w:szCs w:val="24"/>
        </w:rPr>
        <w:t>е</w:t>
      </w:r>
      <w:r w:rsidR="007E6774" w:rsidRPr="0003666F">
        <w:rPr>
          <w:rFonts w:ascii="Times New Roman" w:hAnsi="Times New Roman" w:cs="Times New Roman"/>
          <w:sz w:val="24"/>
          <w:szCs w:val="24"/>
        </w:rPr>
        <w:t xml:space="preserve"> механизм</w:t>
      </w:r>
      <w:r w:rsidR="00F7372B" w:rsidRPr="0003666F">
        <w:rPr>
          <w:rFonts w:ascii="Times New Roman" w:hAnsi="Times New Roman" w:cs="Times New Roman"/>
          <w:sz w:val="24"/>
          <w:szCs w:val="24"/>
        </w:rPr>
        <w:t>ы</w:t>
      </w:r>
      <w:r w:rsidR="007E6774" w:rsidRPr="0003666F">
        <w:rPr>
          <w:rFonts w:ascii="Times New Roman" w:hAnsi="Times New Roman" w:cs="Times New Roman"/>
          <w:sz w:val="24"/>
          <w:szCs w:val="24"/>
        </w:rPr>
        <w:t xml:space="preserve"> выравнивания, соответствующи</w:t>
      </w:r>
      <w:r w:rsidR="00F7372B" w:rsidRPr="0003666F">
        <w:rPr>
          <w:rFonts w:ascii="Times New Roman" w:hAnsi="Times New Roman" w:cs="Times New Roman"/>
          <w:sz w:val="24"/>
          <w:szCs w:val="24"/>
        </w:rPr>
        <w:t>е</w:t>
      </w:r>
      <w:r w:rsidR="007E4524" w:rsidRPr="0003666F">
        <w:rPr>
          <w:rFonts w:ascii="Times New Roman" w:hAnsi="Times New Roman" w:cs="Times New Roman"/>
          <w:sz w:val="24"/>
          <w:szCs w:val="24"/>
        </w:rPr>
        <w:t xml:space="preserve"> таким </w:t>
      </w:r>
      <w:r w:rsidR="007E6774" w:rsidRPr="0003666F">
        <w:rPr>
          <w:rFonts w:ascii="Times New Roman" w:hAnsi="Times New Roman" w:cs="Times New Roman"/>
          <w:sz w:val="24"/>
          <w:szCs w:val="24"/>
        </w:rPr>
        <w:t>целям</w:t>
      </w:r>
      <w:r w:rsidR="00F7372B" w:rsidRPr="0003666F">
        <w:rPr>
          <w:rFonts w:ascii="Times New Roman" w:hAnsi="Times New Roman" w:cs="Times New Roman"/>
          <w:sz w:val="24"/>
          <w:szCs w:val="24"/>
        </w:rPr>
        <w:t>;</w:t>
      </w:r>
    </w:p>
    <w:p w14:paraId="1FD5576C" w14:textId="3DEB90DF" w:rsidR="00B60A03" w:rsidRPr="0003666F" w:rsidRDefault="00B60A03" w:rsidP="00742F1A">
      <w:pPr>
        <w:pStyle w:val="a7"/>
        <w:numPr>
          <w:ilvl w:val="0"/>
          <w:numId w:val="1"/>
        </w:numPr>
        <w:spacing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3666F">
        <w:rPr>
          <w:rFonts w:ascii="Times New Roman" w:hAnsi="Times New Roman" w:cs="Times New Roman"/>
          <w:sz w:val="24"/>
          <w:szCs w:val="24"/>
        </w:rPr>
        <w:t>В зависимости от целей выравнивания пересмотреть схему финансирования капитальных вложений с учетом баланса интересов страны и муниципалитетов</w:t>
      </w:r>
      <w:r w:rsidR="007E4524" w:rsidRPr="0003666F">
        <w:rPr>
          <w:rFonts w:ascii="Times New Roman" w:hAnsi="Times New Roman" w:cs="Times New Roman"/>
          <w:sz w:val="24"/>
          <w:szCs w:val="24"/>
        </w:rPr>
        <w:t xml:space="preserve">. </w:t>
      </w:r>
      <w:r w:rsidR="0089797D" w:rsidRPr="0003666F">
        <w:rPr>
          <w:rFonts w:ascii="Times New Roman" w:hAnsi="Times New Roman" w:cs="Times New Roman"/>
          <w:sz w:val="24"/>
          <w:szCs w:val="24"/>
        </w:rPr>
        <w:t>Разработать и реализовать механизмы формирования местных бюджетов развития</w:t>
      </w:r>
      <w:r w:rsidR="00A5494B" w:rsidRPr="0003666F">
        <w:rPr>
          <w:rFonts w:ascii="Times New Roman" w:hAnsi="Times New Roman" w:cs="Times New Roman"/>
          <w:sz w:val="24"/>
          <w:szCs w:val="24"/>
        </w:rPr>
        <w:t>;</w:t>
      </w:r>
    </w:p>
    <w:p w14:paraId="56878799" w14:textId="0FFABE3D" w:rsidR="00B60A03" w:rsidRPr="0003666F" w:rsidRDefault="00B60A03" w:rsidP="00742F1A">
      <w:pPr>
        <w:pStyle w:val="a7"/>
        <w:numPr>
          <w:ilvl w:val="0"/>
          <w:numId w:val="1"/>
        </w:numPr>
        <w:spacing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3666F">
        <w:rPr>
          <w:rFonts w:ascii="Times New Roman" w:hAnsi="Times New Roman" w:cs="Times New Roman"/>
          <w:sz w:val="24"/>
          <w:szCs w:val="24"/>
        </w:rPr>
        <w:t>Вне зависимости от цели выравнивания принять меры по сокращению неравенства в финансировании важных для граждан и бизнеса услуг (в настоящее время территориальные разрывы по важнейшим статьям местных бюджетов составляют</w:t>
      </w:r>
      <w:r w:rsidR="0003666F" w:rsidRPr="0003666F">
        <w:rPr>
          <w:rFonts w:ascii="Times New Roman" w:hAnsi="Times New Roman" w:cs="Times New Roman"/>
          <w:sz w:val="24"/>
          <w:szCs w:val="24"/>
        </w:rPr>
        <w:t>:</w:t>
      </w:r>
      <w:r w:rsidRPr="0003666F">
        <w:rPr>
          <w:rFonts w:ascii="Times New Roman" w:hAnsi="Times New Roman" w:cs="Times New Roman"/>
          <w:sz w:val="24"/>
          <w:szCs w:val="24"/>
        </w:rPr>
        <w:t xml:space="preserve"> ЖКХ – почти </w:t>
      </w:r>
      <w:r w:rsidR="0003666F" w:rsidRPr="0003666F">
        <w:rPr>
          <w:rFonts w:ascii="Times New Roman" w:hAnsi="Times New Roman" w:cs="Times New Roman"/>
          <w:sz w:val="24"/>
          <w:szCs w:val="24"/>
        </w:rPr>
        <w:t>22</w:t>
      </w:r>
      <w:r w:rsidRPr="0003666F">
        <w:rPr>
          <w:rFonts w:ascii="Times New Roman" w:hAnsi="Times New Roman" w:cs="Times New Roman"/>
          <w:sz w:val="24"/>
          <w:szCs w:val="24"/>
        </w:rPr>
        <w:t xml:space="preserve"> раз</w:t>
      </w:r>
      <w:r w:rsidR="0003666F" w:rsidRPr="0003666F">
        <w:rPr>
          <w:rFonts w:ascii="Times New Roman" w:hAnsi="Times New Roman" w:cs="Times New Roman"/>
          <w:sz w:val="24"/>
          <w:szCs w:val="24"/>
        </w:rPr>
        <w:t>а</w:t>
      </w:r>
      <w:r w:rsidRPr="0003666F">
        <w:rPr>
          <w:rFonts w:ascii="Times New Roman" w:hAnsi="Times New Roman" w:cs="Times New Roman"/>
          <w:sz w:val="24"/>
          <w:szCs w:val="24"/>
        </w:rPr>
        <w:t xml:space="preserve">, социальная защита – </w:t>
      </w:r>
      <w:r w:rsidR="0003666F" w:rsidRPr="0003666F">
        <w:rPr>
          <w:rFonts w:ascii="Times New Roman" w:hAnsi="Times New Roman" w:cs="Times New Roman"/>
          <w:sz w:val="24"/>
          <w:szCs w:val="24"/>
        </w:rPr>
        <w:t>15</w:t>
      </w:r>
      <w:r w:rsidRPr="0003666F">
        <w:rPr>
          <w:rFonts w:ascii="Times New Roman" w:hAnsi="Times New Roman" w:cs="Times New Roman"/>
          <w:sz w:val="24"/>
          <w:szCs w:val="24"/>
        </w:rPr>
        <w:t xml:space="preserve"> раз, культура – </w:t>
      </w:r>
      <w:r w:rsidR="0003666F" w:rsidRPr="0003666F">
        <w:rPr>
          <w:rFonts w:ascii="Times New Roman" w:hAnsi="Times New Roman" w:cs="Times New Roman"/>
          <w:sz w:val="24"/>
          <w:szCs w:val="24"/>
        </w:rPr>
        <w:t>35</w:t>
      </w:r>
      <w:r w:rsidRPr="0003666F">
        <w:rPr>
          <w:rFonts w:ascii="Times New Roman" w:hAnsi="Times New Roman" w:cs="Times New Roman"/>
          <w:sz w:val="24"/>
          <w:szCs w:val="24"/>
        </w:rPr>
        <w:t xml:space="preserve"> раз)</w:t>
      </w:r>
      <w:r w:rsidR="00A5494B" w:rsidRPr="0003666F">
        <w:rPr>
          <w:rFonts w:ascii="Times New Roman" w:hAnsi="Times New Roman" w:cs="Times New Roman"/>
          <w:sz w:val="24"/>
          <w:szCs w:val="24"/>
        </w:rPr>
        <w:t>;</w:t>
      </w:r>
    </w:p>
    <w:p w14:paraId="3234EA5F" w14:textId="3C716DA0" w:rsidR="00F7372B" w:rsidRPr="0003666F" w:rsidRDefault="00F7372B" w:rsidP="00742F1A">
      <w:pPr>
        <w:pStyle w:val="a7"/>
        <w:numPr>
          <w:ilvl w:val="0"/>
          <w:numId w:val="1"/>
        </w:numPr>
        <w:spacing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3666F">
        <w:rPr>
          <w:rFonts w:ascii="Times New Roman" w:hAnsi="Times New Roman" w:cs="Times New Roman"/>
          <w:sz w:val="24"/>
          <w:szCs w:val="24"/>
        </w:rPr>
        <w:t>Разработать и реализовать меры по повышению доходного потенциала органов МСУ (</w:t>
      </w:r>
      <w:r w:rsidR="006B5124" w:rsidRPr="0003666F">
        <w:rPr>
          <w:rFonts w:ascii="Times New Roman" w:hAnsi="Times New Roman" w:cs="Times New Roman"/>
          <w:sz w:val="24"/>
          <w:szCs w:val="24"/>
        </w:rPr>
        <w:t xml:space="preserve">введение в экономический оборот неучтенных земельных и имущественных объектов, повышение привлекательности объектов муниципальной собственности, сдаваемых в аренду, </w:t>
      </w:r>
      <w:r w:rsidRPr="0003666F">
        <w:rPr>
          <w:rFonts w:ascii="Times New Roman" w:hAnsi="Times New Roman" w:cs="Times New Roman"/>
          <w:sz w:val="24"/>
          <w:szCs w:val="24"/>
        </w:rPr>
        <w:t xml:space="preserve">пересчет налоговой базы по налогу на имущество с учетом кадастровой стоимости </w:t>
      </w:r>
      <w:r w:rsidRPr="0003666F">
        <w:rPr>
          <w:rFonts w:ascii="Times New Roman" w:hAnsi="Times New Roman" w:cs="Times New Roman"/>
          <w:sz w:val="24"/>
          <w:szCs w:val="24"/>
        </w:rPr>
        <w:lastRenderedPageBreak/>
        <w:t>объектов недвижимости, которая будет рассчитываться на основе рыночной стоимости</w:t>
      </w:r>
      <w:r w:rsidR="006B5124" w:rsidRPr="0003666F">
        <w:rPr>
          <w:rFonts w:ascii="Times New Roman" w:hAnsi="Times New Roman" w:cs="Times New Roman"/>
          <w:sz w:val="24"/>
          <w:szCs w:val="24"/>
        </w:rPr>
        <w:t xml:space="preserve"> и т.п.)</w:t>
      </w:r>
      <w:r w:rsidRPr="0003666F">
        <w:rPr>
          <w:rFonts w:ascii="Times New Roman" w:hAnsi="Times New Roman" w:cs="Times New Roman"/>
          <w:sz w:val="24"/>
          <w:szCs w:val="24"/>
        </w:rPr>
        <w:t>;</w:t>
      </w:r>
    </w:p>
    <w:p w14:paraId="2869EFB8" w14:textId="4D1DBA65" w:rsidR="00B60A03" w:rsidRPr="0003666F" w:rsidRDefault="00F870F5" w:rsidP="00742F1A">
      <w:pPr>
        <w:pStyle w:val="a7"/>
        <w:numPr>
          <w:ilvl w:val="0"/>
          <w:numId w:val="1"/>
        </w:numPr>
        <w:spacing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3666F">
        <w:rPr>
          <w:rFonts w:ascii="Times New Roman" w:hAnsi="Times New Roman" w:cs="Times New Roman"/>
          <w:sz w:val="24"/>
          <w:szCs w:val="24"/>
        </w:rPr>
        <w:t>Обеспечить соответствие полномочий МСУ объемам их финансирования - о</w:t>
      </w:r>
      <w:r w:rsidR="00A5494B" w:rsidRPr="0003666F">
        <w:rPr>
          <w:rFonts w:ascii="Times New Roman" w:hAnsi="Times New Roman" w:cs="Times New Roman"/>
          <w:sz w:val="24"/>
          <w:szCs w:val="24"/>
        </w:rPr>
        <w:t>свобождение МСУ от расходов, связанных с исполнением нефинансируемых функций</w:t>
      </w:r>
      <w:r w:rsidRPr="0003666F">
        <w:rPr>
          <w:rFonts w:ascii="Times New Roman" w:hAnsi="Times New Roman" w:cs="Times New Roman"/>
          <w:sz w:val="24"/>
          <w:szCs w:val="24"/>
        </w:rPr>
        <w:t xml:space="preserve"> и делегированных полномочий</w:t>
      </w:r>
      <w:r w:rsidR="0089797D" w:rsidRPr="0003666F">
        <w:rPr>
          <w:rFonts w:ascii="Times New Roman" w:hAnsi="Times New Roman" w:cs="Times New Roman"/>
          <w:sz w:val="24"/>
          <w:szCs w:val="24"/>
        </w:rPr>
        <w:t>. Продолжить реализацию инициативы перевода финансирования учреждений образования из расходов местного бюджета в расходы республиканского бюджета</w:t>
      </w:r>
      <w:r w:rsidRPr="0003666F">
        <w:rPr>
          <w:rFonts w:ascii="Times New Roman" w:hAnsi="Times New Roman" w:cs="Times New Roman"/>
          <w:sz w:val="24"/>
          <w:szCs w:val="24"/>
        </w:rPr>
        <w:t>;</w:t>
      </w:r>
    </w:p>
    <w:p w14:paraId="0A4864AC" w14:textId="1121911C" w:rsidR="00B3703E" w:rsidRPr="0003666F" w:rsidRDefault="00B3703E" w:rsidP="00742F1A">
      <w:pPr>
        <w:pStyle w:val="a7"/>
        <w:numPr>
          <w:ilvl w:val="0"/>
          <w:numId w:val="1"/>
        </w:numPr>
        <w:spacing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3666F">
        <w:rPr>
          <w:rFonts w:ascii="Times New Roman" w:hAnsi="Times New Roman" w:cs="Times New Roman"/>
          <w:sz w:val="24"/>
          <w:szCs w:val="24"/>
        </w:rPr>
        <w:t xml:space="preserve">Изменить принципы управления доходами от использования недр и продажи </w:t>
      </w:r>
      <w:r w:rsidR="0089797D" w:rsidRPr="0003666F">
        <w:rPr>
          <w:rFonts w:ascii="Times New Roman" w:hAnsi="Times New Roman" w:cs="Times New Roman"/>
          <w:sz w:val="24"/>
          <w:szCs w:val="24"/>
        </w:rPr>
        <w:t>собственности. Ввести ограничения использования таких доходов на текущие расходы в целях направления их на цели развития;</w:t>
      </w:r>
    </w:p>
    <w:p w14:paraId="39643AEC" w14:textId="3D032163" w:rsidR="00853892" w:rsidRDefault="00B60A03" w:rsidP="00742F1A">
      <w:pPr>
        <w:pStyle w:val="a7"/>
        <w:numPr>
          <w:ilvl w:val="0"/>
          <w:numId w:val="1"/>
        </w:numPr>
        <w:spacing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3666F">
        <w:rPr>
          <w:rFonts w:ascii="Times New Roman" w:hAnsi="Times New Roman" w:cs="Times New Roman"/>
          <w:sz w:val="24"/>
          <w:szCs w:val="24"/>
        </w:rPr>
        <w:t>Принять меры по построению системы комплексного планирования, в которой предусмотреть связь между пространственным планированием, социально-экономическим планированием и фактором бюджетной обеспеченности.</w:t>
      </w:r>
      <w:r w:rsidR="0034267E" w:rsidRPr="0003666F">
        <w:rPr>
          <w:rFonts w:ascii="Times New Roman" w:hAnsi="Times New Roman" w:cs="Times New Roman"/>
          <w:sz w:val="24"/>
          <w:szCs w:val="24"/>
        </w:rPr>
        <w:t xml:space="preserve"> </w:t>
      </w:r>
      <w:r w:rsidR="00F326E8" w:rsidRPr="0003666F">
        <w:rPr>
          <w:rFonts w:ascii="Times New Roman" w:hAnsi="Times New Roman" w:cs="Times New Roman"/>
          <w:sz w:val="24"/>
          <w:szCs w:val="24"/>
        </w:rPr>
        <w:t xml:space="preserve">Разработать и внедрить механизмы </w:t>
      </w:r>
      <w:r w:rsidR="0034267E" w:rsidRPr="0003666F">
        <w:rPr>
          <w:rFonts w:ascii="Times New Roman" w:hAnsi="Times New Roman" w:cs="Times New Roman"/>
          <w:sz w:val="24"/>
          <w:szCs w:val="24"/>
        </w:rPr>
        <w:t>финансирования государственных программ на местном уровне посредством республиканского и местного бюджетов</w:t>
      </w:r>
      <w:r w:rsidR="004A5EC8" w:rsidRPr="0003666F">
        <w:rPr>
          <w:rFonts w:ascii="Times New Roman" w:hAnsi="Times New Roman" w:cs="Times New Roman"/>
          <w:sz w:val="24"/>
          <w:szCs w:val="24"/>
        </w:rPr>
        <w:t>.</w:t>
      </w:r>
    </w:p>
    <w:p w14:paraId="177EA32B" w14:textId="77777777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37D63DF9" w14:textId="77777777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31144AC1" w14:textId="77777777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284AB06" w14:textId="77777777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0738630" w14:textId="3AEFAAF7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Союза МСУ</w:t>
      </w:r>
    </w:p>
    <w:p w14:paraId="70466F80" w14:textId="33F57343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АЛМАНБЕТОВ О. Б.</w:t>
      </w:r>
    </w:p>
    <w:p w14:paraId="3466CDDC" w14:textId="6BD46E12" w:rsidR="006D6AE4" w:rsidRDefault="006D6AE4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E7718">
        <w:rPr>
          <w:rFonts w:ascii="Times New Roman" w:hAnsi="Times New Roman" w:cs="Times New Roman"/>
          <w:sz w:val="24"/>
          <w:szCs w:val="24"/>
        </w:rPr>
        <w:t xml:space="preserve">(тел. </w:t>
      </w:r>
      <w:r w:rsidR="000E7718" w:rsidRPr="00B346E5">
        <w:rPr>
          <w:rFonts w:ascii="Times New Roman" w:hAnsi="Times New Roman" w:cs="Times New Roman"/>
          <w:sz w:val="24"/>
          <w:szCs w:val="24"/>
        </w:rPr>
        <w:t>0312 62 61 50</w:t>
      </w:r>
      <w:r w:rsidRPr="000E7718">
        <w:rPr>
          <w:rFonts w:ascii="Times New Roman" w:hAnsi="Times New Roman" w:cs="Times New Roman"/>
          <w:sz w:val="24"/>
          <w:szCs w:val="24"/>
        </w:rPr>
        <w:t>)</w:t>
      </w:r>
    </w:p>
    <w:p w14:paraId="59307B42" w14:textId="77777777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6A1E802" w14:textId="77777777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C4E850B" w14:textId="77777777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B52DB8D" w14:textId="77777777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E1951F" w14:textId="77777777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правления </w:t>
      </w:r>
    </w:p>
    <w:p w14:paraId="6A539479" w14:textId="1F229610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Института политики развития</w:t>
      </w:r>
    </w:p>
    <w:p w14:paraId="0CE3A873" w14:textId="726AB0EF" w:rsidR="00742F1A" w:rsidRDefault="00742F1A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ДОБРЕЦОВА Н. Н.</w:t>
      </w:r>
    </w:p>
    <w:p w14:paraId="43DC7869" w14:textId="7C042909" w:rsidR="006D6AE4" w:rsidRPr="00742F1A" w:rsidRDefault="006D6AE4" w:rsidP="00742F1A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(тел. 0312 97 65 30)</w:t>
      </w:r>
    </w:p>
    <w:sectPr w:rsidR="006D6AE4" w:rsidRPr="00742F1A" w:rsidSect="00853892">
      <w:footerReference w:type="default" r:id="rId11"/>
      <w:pgSz w:w="11906" w:h="16838"/>
      <w:pgMar w:top="993" w:right="850" w:bottom="1134" w:left="1418" w:header="708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30BA2" w14:textId="77777777" w:rsidR="00EF5793" w:rsidRDefault="00EF5793" w:rsidP="00853892">
      <w:pPr>
        <w:spacing w:before="0" w:line="240" w:lineRule="auto"/>
      </w:pPr>
      <w:r>
        <w:separator/>
      </w:r>
    </w:p>
  </w:endnote>
  <w:endnote w:type="continuationSeparator" w:id="0">
    <w:p w14:paraId="3851D3FD" w14:textId="77777777" w:rsidR="00EF5793" w:rsidRDefault="00EF5793" w:rsidP="0085389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6636796"/>
      <w:docPartObj>
        <w:docPartGallery w:val="Page Numbers (Bottom of Page)"/>
        <w:docPartUnique/>
      </w:docPartObj>
    </w:sdtPr>
    <w:sdtContent>
      <w:p w14:paraId="764ECC8B" w14:textId="3F1C2385" w:rsidR="000234FC" w:rsidRDefault="000234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B66">
          <w:rPr>
            <w:noProof/>
          </w:rPr>
          <w:t>3</w:t>
        </w:r>
        <w:r>
          <w:fldChar w:fldCharType="end"/>
        </w:r>
      </w:p>
    </w:sdtContent>
  </w:sdt>
  <w:p w14:paraId="56C11271" w14:textId="14E6D38F" w:rsidR="000234FC" w:rsidRDefault="000234FC" w:rsidP="0085389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B719E" w14:textId="77777777" w:rsidR="00EF5793" w:rsidRDefault="00EF5793" w:rsidP="00853892">
      <w:pPr>
        <w:spacing w:before="0" w:line="240" w:lineRule="auto"/>
      </w:pPr>
      <w:r>
        <w:separator/>
      </w:r>
    </w:p>
  </w:footnote>
  <w:footnote w:type="continuationSeparator" w:id="0">
    <w:p w14:paraId="293BB1C3" w14:textId="77777777" w:rsidR="00EF5793" w:rsidRDefault="00EF5793" w:rsidP="0085389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207DB"/>
    <w:multiLevelType w:val="hybridMultilevel"/>
    <w:tmpl w:val="4E00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03"/>
    <w:rsid w:val="000234FC"/>
    <w:rsid w:val="0003666F"/>
    <w:rsid w:val="000E7718"/>
    <w:rsid w:val="00130387"/>
    <w:rsid w:val="002C0EFB"/>
    <w:rsid w:val="002E6BAF"/>
    <w:rsid w:val="0034267E"/>
    <w:rsid w:val="004362A6"/>
    <w:rsid w:val="004A5EC8"/>
    <w:rsid w:val="00693B0D"/>
    <w:rsid w:val="006B5124"/>
    <w:rsid w:val="006D6AE4"/>
    <w:rsid w:val="00737713"/>
    <w:rsid w:val="00742F1A"/>
    <w:rsid w:val="007A0CA9"/>
    <w:rsid w:val="007E4524"/>
    <w:rsid w:val="007E6774"/>
    <w:rsid w:val="00853892"/>
    <w:rsid w:val="0089797D"/>
    <w:rsid w:val="008F0BDC"/>
    <w:rsid w:val="00940B66"/>
    <w:rsid w:val="00954D3B"/>
    <w:rsid w:val="00985B3A"/>
    <w:rsid w:val="009B2B2C"/>
    <w:rsid w:val="009E5D72"/>
    <w:rsid w:val="00A5494B"/>
    <w:rsid w:val="00AD67C1"/>
    <w:rsid w:val="00B346E5"/>
    <w:rsid w:val="00B3703E"/>
    <w:rsid w:val="00B60A03"/>
    <w:rsid w:val="00BF4134"/>
    <w:rsid w:val="00DE6BF4"/>
    <w:rsid w:val="00E14645"/>
    <w:rsid w:val="00E813A2"/>
    <w:rsid w:val="00EF5793"/>
    <w:rsid w:val="00F326E8"/>
    <w:rsid w:val="00F7372B"/>
    <w:rsid w:val="00F8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A6F88"/>
  <w15:docId w15:val="{EB79B7CF-D380-4326-A18E-3D15A900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92"/>
    <w:pPr>
      <w:spacing w:before="120" w:after="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853892"/>
    <w:pPr>
      <w:keepNext/>
      <w:keepLines/>
      <w:spacing w:before="240" w:after="120"/>
      <w:jc w:val="left"/>
      <w:outlineLvl w:val="0"/>
    </w:pPr>
    <w:rPr>
      <w:rFonts w:eastAsiaTheme="majorEastAsia"/>
      <w:b/>
      <w:sz w:val="28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53892"/>
    <w:pPr>
      <w:keepNext/>
      <w:keepLines/>
      <w:spacing w:before="240" w:after="120"/>
      <w:jc w:val="left"/>
      <w:outlineLvl w:val="1"/>
    </w:pPr>
    <w:rPr>
      <w:rFonts w:eastAsiaTheme="majorEastAsia"/>
      <w:b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53892"/>
    <w:pPr>
      <w:keepNext/>
      <w:keepLines/>
      <w:spacing w:before="240" w:after="120"/>
      <w:jc w:val="left"/>
      <w:outlineLvl w:val="2"/>
    </w:pPr>
    <w:rPr>
      <w:rFonts w:eastAsiaTheme="majorEastAsia"/>
      <w:b/>
      <w:color w:val="1F3763" w:themeColor="accent1" w:themeShade="7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892"/>
    <w:rPr>
      <w:rFonts w:ascii="Arial" w:eastAsiaTheme="majorEastAsia" w:hAnsi="Arial" w:cs="Arial"/>
      <w:b/>
      <w:sz w:val="28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53892"/>
    <w:rPr>
      <w:rFonts w:ascii="Arial" w:eastAsiaTheme="majorEastAsia" w:hAnsi="Arial" w:cs="Arial"/>
      <w:b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53892"/>
    <w:rPr>
      <w:rFonts w:ascii="Arial" w:eastAsiaTheme="majorEastAsia" w:hAnsi="Arial" w:cs="Arial"/>
      <w:b/>
      <w:color w:val="1F3763" w:themeColor="accent1" w:themeShade="7F"/>
      <w:lang w:val="en-US"/>
    </w:rPr>
  </w:style>
  <w:style w:type="paragraph" w:styleId="a3">
    <w:name w:val="header"/>
    <w:basedOn w:val="a"/>
    <w:link w:val="a4"/>
    <w:uiPriority w:val="99"/>
    <w:unhideWhenUsed/>
    <w:rsid w:val="0085389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892"/>
    <w:rPr>
      <w:rFonts w:ascii="Arial" w:hAnsi="Arial" w:cs="Arial"/>
    </w:rPr>
  </w:style>
  <w:style w:type="paragraph" w:styleId="a5">
    <w:name w:val="footer"/>
    <w:basedOn w:val="a"/>
    <w:link w:val="a6"/>
    <w:uiPriority w:val="99"/>
    <w:unhideWhenUsed/>
    <w:rsid w:val="0085389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892"/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B60A0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666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3;&#1072;&#1089;&#1090;&#1088;&#1072;&#1080;&#1074;&#1072;&#1077;&#1084;&#1099;&#1077;%20&#1096;&#1072;&#1073;&#1083;&#1086;&#1085;&#1099;%20Office\Doc1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Work\Municipalitet\2019\&#1040;&#1085;&#1072;&#1083;&#1080;&#1079;%20&#1073;&#1102;&#1076;&#1078;&#1077;&#1090;&#1072;\&#1052;&#1077;&#1089;&#1090;&#1085;&#1099;&#1077;%20&#1073;&#1102;&#1076;&#1078;&#1077;&#1090;&#1099;_2019_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Work\Municipalitet\2019\&#1040;&#1085;&#1072;&#1083;&#1080;&#1079;%20&#1073;&#1102;&#1076;&#1078;&#1077;&#1090;&#1072;\&#1052;&#1077;&#1089;&#1090;&#1085;&#1099;&#1077;%20&#1073;&#1102;&#1076;&#1078;&#1077;&#1090;&#1099;_2019_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'2016'!$B$86</c:f>
              <c:strCache>
                <c:ptCount val="1"/>
                <c:pt idx="0">
                  <c:v>Доля доходов МБ в общих доходах МБ и РБ, %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8100"/>
            </c:spPr>
            <c:trendlineType val="exp"/>
            <c:dispRSqr val="0"/>
            <c:dispEq val="0"/>
          </c:trendline>
          <c:cat>
            <c:numRef>
              <c:f>'2016'!$C$82:$K$82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'2016'!$C$86:$K$86</c:f>
              <c:numCache>
                <c:formatCode>0</c:formatCode>
                <c:ptCount val="9"/>
                <c:pt idx="0">
                  <c:v>23.742138364779876</c:v>
                </c:pt>
                <c:pt idx="1">
                  <c:v>23.672566371681413</c:v>
                </c:pt>
                <c:pt idx="2">
                  <c:v>23.343224530168154</c:v>
                </c:pt>
                <c:pt idx="3">
                  <c:v>19.129646418857661</c:v>
                </c:pt>
                <c:pt idx="4">
                  <c:v>13.261943986820429</c:v>
                </c:pt>
                <c:pt idx="5">
                  <c:v>13.318112633181126</c:v>
                </c:pt>
                <c:pt idx="6">
                  <c:v>13.193403298350825</c:v>
                </c:pt>
                <c:pt idx="7">
                  <c:v>13.096774193548388</c:v>
                </c:pt>
                <c:pt idx="8">
                  <c:v>12.982005141388175</c:v>
                </c:pt>
              </c:numCache>
            </c:numRef>
          </c:val>
        </c:ser>
        <c:ser>
          <c:idx val="0"/>
          <c:order val="1"/>
          <c:tx>
            <c:v>Доходы местных бюджетов, млрд сомов</c:v>
          </c:tx>
          <c:spPr>
            <a:solidFill>
              <a:schemeClr val="tx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'2016'!$C$84:$K$84</c:f>
              <c:numCache>
                <c:formatCode>General</c:formatCode>
                <c:ptCount val="9"/>
                <c:pt idx="0">
                  <c:v>15.1</c:v>
                </c:pt>
                <c:pt idx="1">
                  <c:v>21.4</c:v>
                </c:pt>
                <c:pt idx="2">
                  <c:v>23.6</c:v>
                </c:pt>
                <c:pt idx="3">
                  <c:v>21.1</c:v>
                </c:pt>
                <c:pt idx="4">
                  <c:v>16.100000000000001</c:v>
                </c:pt>
                <c:pt idx="5">
                  <c:v>17.5</c:v>
                </c:pt>
                <c:pt idx="6">
                  <c:v>17.600000000000001</c:v>
                </c:pt>
                <c:pt idx="7">
                  <c:v>20.3</c:v>
                </c:pt>
                <c:pt idx="8">
                  <c:v>20.2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5612192"/>
        <c:axId val="755612584"/>
      </c:barChart>
      <c:catAx>
        <c:axId val="755612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755612584"/>
        <c:crosses val="autoZero"/>
        <c:auto val="1"/>
        <c:lblAlgn val="ctr"/>
        <c:lblOffset val="100"/>
        <c:noMultiLvlLbl val="0"/>
      </c:catAx>
      <c:valAx>
        <c:axId val="75561258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755612192"/>
        <c:crosses val="autoZero"/>
        <c:crossBetween val="between"/>
      </c:valAx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38654512448446687"/>
          <c:y val="6.8048083176020902E-2"/>
          <c:w val="0.57546597667593757"/>
          <c:h val="0.16146346525768876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'2016'!$B$83</c:f>
              <c:strCache>
                <c:ptCount val="1"/>
                <c:pt idx="0">
                  <c:v>Доходы республиканского бюджета, млрд сомов</c:v>
                </c:pt>
              </c:strCache>
            </c:strRef>
          </c:tx>
          <c:spPr>
            <a:ln w="76200">
              <a:solidFill>
                <a:srgbClr val="C00000"/>
              </a:solidFill>
              <a:prstDash val="soli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'2016'!$C$82:$K$82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'2016'!$C$83:$K$83</c:f>
              <c:numCache>
                <c:formatCode>General</c:formatCode>
                <c:ptCount val="9"/>
                <c:pt idx="0">
                  <c:v>48.5</c:v>
                </c:pt>
                <c:pt idx="1">
                  <c:v>69</c:v>
                </c:pt>
                <c:pt idx="2">
                  <c:v>77.5</c:v>
                </c:pt>
                <c:pt idx="3">
                  <c:v>89.2</c:v>
                </c:pt>
                <c:pt idx="4">
                  <c:v>105.3</c:v>
                </c:pt>
                <c:pt idx="5">
                  <c:v>113.9</c:v>
                </c:pt>
                <c:pt idx="6">
                  <c:v>115.8</c:v>
                </c:pt>
                <c:pt idx="7">
                  <c:v>134.69999999999999</c:v>
                </c:pt>
                <c:pt idx="8">
                  <c:v>135.4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'2016'!$B$84</c:f>
              <c:strCache>
                <c:ptCount val="1"/>
                <c:pt idx="0">
                  <c:v>Доходы местных бюджетов, млрд сомов</c:v>
                </c:pt>
              </c:strCache>
            </c:strRef>
          </c:tx>
          <c:spPr>
            <a:ln w="76200">
              <a:solidFill>
                <a:schemeClr val="tx1"/>
              </a:solidFill>
              <a:prstDash val="soli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'2016'!$C$82:$K$82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'2016'!$C$84:$K$84</c:f>
              <c:numCache>
                <c:formatCode>General</c:formatCode>
                <c:ptCount val="9"/>
                <c:pt idx="0">
                  <c:v>15.1</c:v>
                </c:pt>
                <c:pt idx="1">
                  <c:v>21.4</c:v>
                </c:pt>
                <c:pt idx="2">
                  <c:v>23.6</c:v>
                </c:pt>
                <c:pt idx="3">
                  <c:v>21.1</c:v>
                </c:pt>
                <c:pt idx="4">
                  <c:v>16.100000000000001</c:v>
                </c:pt>
                <c:pt idx="5">
                  <c:v>17.5</c:v>
                </c:pt>
                <c:pt idx="6">
                  <c:v>17.600000000000001</c:v>
                </c:pt>
                <c:pt idx="7">
                  <c:v>20.3</c:v>
                </c:pt>
                <c:pt idx="8">
                  <c:v>20.2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smooth val="0"/>
        <c:axId val="755599648"/>
        <c:axId val="755609448"/>
      </c:lineChart>
      <c:catAx>
        <c:axId val="755599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755609448"/>
        <c:crosses val="autoZero"/>
        <c:auto val="1"/>
        <c:lblAlgn val="ctr"/>
        <c:lblOffset val="100"/>
        <c:noMultiLvlLbl val="0"/>
      </c:catAx>
      <c:valAx>
        <c:axId val="7556094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5559964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0</TotalTime>
  <Pages>3</Pages>
  <Words>1000</Words>
  <Characters>4164</Characters>
  <Application>Microsoft Office Word</Application>
  <DocSecurity>0</DocSecurity>
  <Lines>2082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Nurgul Jamankulova</cp:lastModifiedBy>
  <cp:revision>2</cp:revision>
  <cp:lastPrinted>2019-04-19T05:09:00Z</cp:lastPrinted>
  <dcterms:created xsi:type="dcterms:W3CDTF">2019-04-22T04:07:00Z</dcterms:created>
  <dcterms:modified xsi:type="dcterms:W3CDTF">2019-04-22T04:07:00Z</dcterms:modified>
</cp:coreProperties>
</file>