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E161A" w14:textId="577C446F" w:rsidR="00E10C20" w:rsidRPr="00E10C20" w:rsidRDefault="00E10C20" w:rsidP="00E10C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Press </w:t>
      </w:r>
      <w:r w:rsidR="004A6449" w:rsidRP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>Release</w:t>
      </w:r>
    </w:p>
    <w:p w14:paraId="14329DAB" w14:textId="14D1DDFD" w:rsidR="00E10C20" w:rsidRPr="00E10C20" w:rsidRDefault="00E10C20" w:rsidP="00E10C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rural municipalities of Jalal</w:t>
      </w:r>
      <w:r w:rsidR="004A6449" w:rsidRP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bad and Issyk-Kul regions </w:t>
      </w:r>
      <w:r w:rsidR="0021303D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received information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on the methods of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engag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>ing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private sector in organizing and providing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public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services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resolve the</w:t>
      </w:r>
      <w:r w:rsidRPr="00E10C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issues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local </w:t>
      </w:r>
      <w:r w:rsidR="0021303D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significance</w:t>
      </w:r>
      <w:r w:rsidR="004A6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4D761C4" w14:textId="35993B04" w:rsidR="00E10C20" w:rsidRPr="00E10C20" w:rsidRDefault="004A6449" w:rsidP="00E10C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Service Improvement Project, funded by the Government of Switzerland through the Swiss Development and Cooperation Agency and implemented by </w:t>
      </w:r>
      <w:proofErr w:type="spellStart"/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Helvetas</w:t>
      </w:r>
      <w:proofErr w:type="spellEnd"/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 xml:space="preserve">Development Policy Institute held 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a number of workshops for all rural municipalities in Jalal</w:t>
      </w:r>
      <w:r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bad and Issyk-Kul regions on private sector involvement in the organization and provision of services at the local level.</w:t>
      </w:r>
    </w:p>
    <w:p w14:paraId="05CE8256" w14:textId="1FC00906" w:rsidR="00E10C20" w:rsidRPr="00E10C20" w:rsidRDefault="00E10C20" w:rsidP="00E10C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C20">
        <w:rPr>
          <w:rFonts w:ascii="Times New Roman" w:hAnsi="Times New Roman" w:cs="Times New Roman"/>
          <w:sz w:val="24"/>
          <w:szCs w:val="24"/>
          <w:lang w:val="en-US"/>
        </w:rPr>
        <w:t>In total, 108 heads and staff from the rural municipalities of Issyk-Kul and Jalal-Abad regions were trained in 5 seminars (Jalal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E10C20">
        <w:rPr>
          <w:rFonts w:ascii="Times New Roman" w:hAnsi="Times New Roman" w:cs="Times New Roman"/>
          <w:sz w:val="24"/>
          <w:szCs w:val="24"/>
          <w:lang w:val="en-US"/>
        </w:rPr>
        <w:t>bad, Ala-</w:t>
      </w:r>
      <w:proofErr w:type="spellStart"/>
      <w:r w:rsidRPr="00E10C20">
        <w:rPr>
          <w:rFonts w:ascii="Times New Roman" w:hAnsi="Times New Roman" w:cs="Times New Roman"/>
          <w:sz w:val="24"/>
          <w:szCs w:val="24"/>
          <w:lang w:val="en-US"/>
        </w:rPr>
        <w:t>Buka</w:t>
      </w:r>
      <w:proofErr w:type="spellEnd"/>
      <w:r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0C20">
        <w:rPr>
          <w:rFonts w:ascii="Times New Roman" w:hAnsi="Times New Roman" w:cs="Times New Roman"/>
          <w:sz w:val="24"/>
          <w:szCs w:val="24"/>
          <w:lang w:val="en-US"/>
        </w:rPr>
        <w:t>Toktogul</w:t>
      </w:r>
      <w:proofErr w:type="spellEnd"/>
      <w:r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0C20">
        <w:rPr>
          <w:rFonts w:ascii="Times New Roman" w:hAnsi="Times New Roman" w:cs="Times New Roman"/>
          <w:sz w:val="24"/>
          <w:szCs w:val="24"/>
          <w:lang w:val="en-US"/>
        </w:rPr>
        <w:t>Balykch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E10C20">
        <w:rPr>
          <w:rFonts w:ascii="Times New Roman" w:hAnsi="Times New Roman" w:cs="Times New Roman"/>
          <w:sz w:val="24"/>
          <w:szCs w:val="24"/>
          <w:lang w:val="en-US"/>
        </w:rPr>
        <w:t>Karakol</w:t>
      </w:r>
      <w:proofErr w:type="spellEnd"/>
      <w:r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), including 13 women. </w:t>
      </w:r>
    </w:p>
    <w:p w14:paraId="4ACD0537" w14:textId="5296E3A1" w:rsidR="00E10C20" w:rsidRPr="00E10C20" w:rsidRDefault="004A6449" w:rsidP="00E10C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While i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nvolving the private sector in the provision of services will reduce the costs of the local budget, the </w:t>
      </w:r>
      <w:r>
        <w:rPr>
          <w:rFonts w:ascii="Times New Roman" w:hAnsi="Times New Roman" w:cs="Times New Roman"/>
          <w:sz w:val="24"/>
          <w:szCs w:val="24"/>
          <w:lang w:val="en-US"/>
        </w:rPr>
        <w:t>LSG body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get rid of the need to deal with organizational issues and internal problems of the service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provider. Furthermore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, 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longer will there be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 xml:space="preserve"> need to buy and maintain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main assets</w:t>
      </w:r>
      <w:r w:rsidR="00E10C20" w:rsidRPr="00E10C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128C5A" w14:textId="557B9B7F" w:rsidR="004A6449" w:rsidRPr="004A6449" w:rsidRDefault="00EA1237" w:rsidP="004A64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</w:t>
      </w:r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>he seminars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real examples of cooperation with the private sector in areas such as collection and removal of </w:t>
      </w:r>
      <w:r>
        <w:rPr>
          <w:rFonts w:ascii="Times New Roman" w:hAnsi="Times New Roman" w:cs="Times New Roman"/>
          <w:sz w:val="24"/>
          <w:szCs w:val="24"/>
          <w:lang w:val="en-US"/>
        </w:rPr>
        <w:t>solid waste</w:t>
      </w:r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, cultural and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recreational</w:t>
      </w:r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services,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 xml:space="preserve">street </w:t>
      </w:r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lighting and improvement of public areas, </w:t>
      </w:r>
      <w:proofErr w:type="spellStart"/>
      <w:r w:rsidR="004A6449" w:rsidRPr="004A6449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1303D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discussed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9F451E" w14:textId="5D11340A" w:rsidR="004A6449" w:rsidRPr="004A6449" w:rsidRDefault="004A6449" w:rsidP="004A64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At the end of the seminar,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Kadyralieva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ramkul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, head of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Kok-Mo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nock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23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237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mak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in the Ton district, </w:t>
      </w:r>
      <w:proofErr w:type="gramStart"/>
      <w:r w:rsidRPr="004A6449">
        <w:rPr>
          <w:rFonts w:ascii="Times New Roman" w:hAnsi="Times New Roman" w:cs="Times New Roman"/>
          <w:sz w:val="24"/>
          <w:szCs w:val="24"/>
          <w:lang w:val="en-US"/>
        </w:rPr>
        <w:t>said:</w:t>
      </w:r>
      <w:proofErr w:type="gram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2130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seminar was very informative and useful. Thanks to </w:t>
      </w:r>
      <w:r w:rsidR="0021303D">
        <w:rPr>
          <w:rFonts w:ascii="Times New Roman" w:hAnsi="Times New Roman" w:cs="Times New Roman"/>
          <w:i/>
          <w:sz w:val="24"/>
          <w:szCs w:val="24"/>
          <w:lang w:val="en-US"/>
        </w:rPr>
        <w:t>the project</w:t>
      </w:r>
      <w:r w:rsidRPr="0021303D">
        <w:rPr>
          <w:rFonts w:ascii="Times New Roman" w:hAnsi="Times New Roman" w:cs="Times New Roman"/>
          <w:i/>
          <w:sz w:val="24"/>
          <w:szCs w:val="24"/>
          <w:lang w:val="en-US"/>
        </w:rPr>
        <w:t>, we have learned practical methods of engaging the private sector in the provision of services at the local level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Sharsheev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Urmat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, head of the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Boru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>-Bash AA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449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Pr="004A6449">
        <w:rPr>
          <w:rFonts w:ascii="Times New Roman" w:hAnsi="Times New Roman" w:cs="Times New Roman"/>
          <w:sz w:val="24"/>
          <w:szCs w:val="24"/>
          <w:lang w:val="en-US"/>
        </w:rPr>
        <w:t>-Sui district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 xml:space="preserve"> told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21303D">
        <w:rPr>
          <w:rFonts w:ascii="Times New Roman" w:hAnsi="Times New Roman" w:cs="Times New Roman"/>
          <w:i/>
          <w:sz w:val="24"/>
          <w:szCs w:val="24"/>
          <w:lang w:val="en-US"/>
        </w:rPr>
        <w:t>I support cooperation with the private sector to solve local problems, because such a method can improve the quality of services and reduce the level of corruption.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382B6372" w14:textId="39393132" w:rsidR="004A6449" w:rsidRPr="004A6449" w:rsidRDefault="004A6449" w:rsidP="004A64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6449">
        <w:rPr>
          <w:rFonts w:ascii="Times New Roman" w:hAnsi="Times New Roman" w:cs="Times New Roman"/>
          <w:sz w:val="24"/>
          <w:szCs w:val="24"/>
          <w:lang w:val="en-US"/>
        </w:rPr>
        <w:t>As a result</w:t>
      </w:r>
      <w:proofErr w:type="gram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of the seminars, the Project plans to create an appropriate online course and at least one successful case of involving the private sector in the provision of services in each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project region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, which will be subsequently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published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on the best practices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portal, which will allow other </w:t>
      </w:r>
      <w:r w:rsidR="00EA1237">
        <w:rPr>
          <w:rFonts w:ascii="Times New Roman" w:hAnsi="Times New Roman" w:cs="Times New Roman"/>
          <w:sz w:val="24"/>
          <w:szCs w:val="24"/>
          <w:lang w:val="en-US"/>
        </w:rPr>
        <w:t xml:space="preserve">LSG bodies 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>to use such experience in their municipalities.</w:t>
      </w:r>
    </w:p>
    <w:p w14:paraId="23F93FB7" w14:textId="475CA464" w:rsidR="009B6EFA" w:rsidRPr="004A6449" w:rsidRDefault="004A6449" w:rsidP="004A6449">
      <w:pPr>
        <w:ind w:firstLine="708"/>
        <w:jc w:val="both"/>
        <w:rPr>
          <w:sz w:val="24"/>
          <w:lang w:val="en-US"/>
        </w:rPr>
      </w:pP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To reduce risks and prevent further spread of coronavirus infection (COVID-19), workshops </w:t>
      </w:r>
      <w:proofErr w:type="gramStart"/>
      <w:r w:rsidR="0021303D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proofErr w:type="gramEnd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separately for representatives of different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districts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of the target </w:t>
      </w:r>
      <w:r w:rsidR="0021303D">
        <w:rPr>
          <w:rFonts w:ascii="Times New Roman" w:hAnsi="Times New Roman" w:cs="Times New Roman"/>
          <w:sz w:val="24"/>
          <w:szCs w:val="24"/>
          <w:lang w:val="en-US"/>
        </w:rPr>
        <w:t>regions</w:t>
      </w:r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, meeting all sanitary requirements and a small number of participants. All participants </w:t>
      </w:r>
      <w:proofErr w:type="gramStart"/>
      <w:r w:rsidR="0021303D">
        <w:rPr>
          <w:rFonts w:ascii="Times New Roman" w:hAnsi="Times New Roman" w:cs="Times New Roman"/>
          <w:sz w:val="24"/>
          <w:szCs w:val="24"/>
          <w:lang w:val="en-US"/>
        </w:rPr>
        <w:t>were</w:t>
      </w:r>
      <w:bookmarkStart w:id="0" w:name="_GoBack"/>
      <w:bookmarkEnd w:id="0"/>
      <w:r w:rsidRPr="004A6449">
        <w:rPr>
          <w:rFonts w:ascii="Times New Roman" w:hAnsi="Times New Roman" w:cs="Times New Roman"/>
          <w:sz w:val="24"/>
          <w:szCs w:val="24"/>
          <w:lang w:val="en-US"/>
        </w:rPr>
        <w:t xml:space="preserve"> provided with medical masks, antiseptics, organized and observed social distance</w:t>
      </w:r>
      <w:proofErr w:type="gramEnd"/>
      <w:r w:rsidRPr="004A64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B6EFA" w:rsidRPr="004A6449" w:rsidSect="003261B7">
      <w:headerReference w:type="first" r:id="rId8"/>
      <w:footerReference w:type="first" r:id="rId9"/>
      <w:pgSz w:w="11906" w:h="16838" w:code="9"/>
      <w:pgMar w:top="851" w:right="851" w:bottom="851" w:left="1134" w:header="56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2B886" w14:textId="77777777" w:rsidR="0034211F" w:rsidRDefault="0034211F" w:rsidP="00467150">
      <w:pPr>
        <w:spacing w:after="0" w:line="240" w:lineRule="auto"/>
      </w:pPr>
      <w:r>
        <w:separator/>
      </w:r>
    </w:p>
  </w:endnote>
  <w:endnote w:type="continuationSeparator" w:id="0">
    <w:p w14:paraId="118A241B" w14:textId="77777777" w:rsidR="0034211F" w:rsidRDefault="0034211F" w:rsidP="004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774" w:type="dxa"/>
      <w:tblInd w:w="-431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20"/>
      <w:gridCol w:w="2273"/>
      <w:gridCol w:w="2835"/>
      <w:gridCol w:w="420"/>
    </w:tblGrid>
    <w:tr w:rsidR="00467150" w14:paraId="0D971A31" w14:textId="77777777" w:rsidTr="003261B7">
      <w:trPr>
        <w:gridAfter w:val="1"/>
        <w:wAfter w:w="420" w:type="dxa"/>
      </w:trPr>
      <w:tc>
        <w:tcPr>
          <w:tcW w:w="4826" w:type="dxa"/>
          <w:tcBorders>
            <w:top w:val="single" w:sz="8" w:space="0" w:color="FF0000"/>
          </w:tcBorders>
        </w:tcPr>
        <w:p w14:paraId="7A26E997" w14:textId="6CBF22CD" w:rsidR="00467150" w:rsidRDefault="00467150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B90BBDD" wp14:editId="5117648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003425" cy="746125"/>
                <wp:effectExtent l="0" t="0" r="0" b="0"/>
                <wp:wrapThrough wrapText="bothSides">
                  <wp:wrapPolygon edited="0">
                    <wp:start x="0" y="0"/>
                    <wp:lineTo x="0" y="20957"/>
                    <wp:lineTo x="20539" y="20957"/>
                    <wp:lineTo x="20539" y="0"/>
                    <wp:lineTo x="0" y="0"/>
                  </wp:wrapPolygon>
                </wp:wrapThrough>
                <wp:docPr id="7" name="Picture 1" descr="Belly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lly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3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74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gridSpan w:val="2"/>
          <w:tcBorders>
            <w:top w:val="single" w:sz="8" w:space="0" w:color="FF0000"/>
          </w:tcBorders>
        </w:tcPr>
        <w:p w14:paraId="41DC3400" w14:textId="61CD3177" w:rsidR="003261B7" w:rsidRPr="003261B7" w:rsidRDefault="003261B7">
          <w:pPr>
            <w:pStyle w:val="a5"/>
            <w:rPr>
              <w:noProof/>
              <w:sz w:val="16"/>
              <w:szCs w:val="16"/>
              <w:lang w:eastAsia="ru-RU"/>
            </w:rPr>
          </w:pPr>
        </w:p>
        <w:p w14:paraId="37C3BE70" w14:textId="1CCA1B88" w:rsidR="003261B7" w:rsidRDefault="001F3BB3">
          <w:pPr>
            <w:pStyle w:val="a5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119144F0" wp14:editId="103D3F02">
                <wp:simplePos x="0" y="0"/>
                <wp:positionH relativeFrom="column">
                  <wp:posOffset>-597535</wp:posOffset>
                </wp:positionH>
                <wp:positionV relativeFrom="paragraph">
                  <wp:posOffset>128270</wp:posOffset>
                </wp:positionV>
                <wp:extent cx="1442720" cy="596265"/>
                <wp:effectExtent l="0" t="0" r="508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lveta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6DB1BE" w14:textId="3ADBC966" w:rsidR="00467150" w:rsidRDefault="00467150">
          <w:pPr>
            <w:pStyle w:val="a5"/>
          </w:pPr>
        </w:p>
      </w:tc>
      <w:tc>
        <w:tcPr>
          <w:tcW w:w="2835" w:type="dxa"/>
          <w:tcBorders>
            <w:top w:val="single" w:sz="8" w:space="0" w:color="FF0000"/>
          </w:tcBorders>
        </w:tcPr>
        <w:p w14:paraId="6A48A4C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7FE76A7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6BED670C" w14:textId="77777777" w:rsidR="00467150" w:rsidRDefault="003261B7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7C71E47E" wp14:editId="3857BF6B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590675" cy="328930"/>
                <wp:effectExtent l="0" t="0" r="9525" b="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I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150" w:rsidRPr="0021303D" w14:paraId="54840CFF" w14:textId="77777777" w:rsidTr="003261B7">
      <w:tc>
        <w:tcPr>
          <w:tcW w:w="5246" w:type="dxa"/>
          <w:gridSpan w:val="2"/>
        </w:tcPr>
        <w:p w14:paraId="78D493C0" w14:textId="77777777" w:rsidR="003261B7" w:rsidRDefault="003261B7" w:rsidP="00467150">
          <w:pPr>
            <w:rPr>
              <w:color w:val="595959" w:themeColor="text1" w:themeTint="A6"/>
              <w:sz w:val="14"/>
              <w:szCs w:val="14"/>
            </w:rPr>
          </w:pPr>
        </w:p>
        <w:p w14:paraId="0E3537AC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Швейцария </w:t>
          </w:r>
          <w:proofErr w:type="spellStart"/>
          <w:r w:rsidRPr="001B22D8">
            <w:rPr>
              <w:color w:val="595959" w:themeColor="text1" w:themeTint="A6"/>
              <w:sz w:val="14"/>
              <w:szCs w:val="14"/>
            </w:rPr>
            <w:t>Ѳкмѳтү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1B22D8">
            <w:rPr>
              <w:color w:val="595959" w:themeColor="text1" w:themeTint="A6"/>
              <w:sz w:val="14"/>
              <w:szCs w:val="14"/>
            </w:rPr>
            <w:t>тарабынан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1B22D8">
            <w:rPr>
              <w:color w:val="595959" w:themeColor="text1" w:themeTint="A6"/>
              <w:sz w:val="14"/>
              <w:szCs w:val="14"/>
            </w:rPr>
            <w:t>түзүлгѳн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1B22D8">
            <w:rPr>
              <w:color w:val="595959" w:themeColor="text1" w:themeTint="A6"/>
              <w:sz w:val="14"/>
              <w:szCs w:val="14"/>
            </w:rPr>
            <w:t>жана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1B22D8">
            <w:rPr>
              <w:color w:val="595959" w:themeColor="text1" w:themeTint="A6"/>
              <w:sz w:val="14"/>
              <w:szCs w:val="14"/>
            </w:rPr>
            <w:t>каржыланган</w:t>
          </w:r>
          <w:proofErr w:type="spellEnd"/>
        </w:p>
        <w:p w14:paraId="2AA56BF8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разработана и финансируется Правительством Швейцарии </w:t>
          </w:r>
        </w:p>
        <w:p w14:paraId="272BE28F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 xml:space="preserve"> designed and financed by the Government of Switzerland</w:t>
          </w:r>
        </w:p>
        <w:p w14:paraId="599F5D24" w14:textId="77777777" w:rsidR="00467150" w:rsidRPr="003261B7" w:rsidRDefault="00467150" w:rsidP="00467150">
          <w:pPr>
            <w:rPr>
              <w:rFonts w:eastAsiaTheme="minorEastAsia"/>
              <w:noProof/>
              <w:color w:val="595959" w:themeColor="text1" w:themeTint="A6"/>
              <w:sz w:val="8"/>
              <w:szCs w:val="8"/>
              <w:lang w:val="en-US"/>
            </w:rPr>
          </w:pPr>
        </w:p>
        <w:p w14:paraId="51C51C12" w14:textId="77777777" w:rsidR="00467150" w:rsidRPr="00467150" w:rsidRDefault="0034211F" w:rsidP="00467150">
          <w:pPr>
            <w:pStyle w:val="a5"/>
            <w:rPr>
              <w:lang w:val="en-US"/>
            </w:rPr>
          </w:pPr>
          <w:hyperlink r:id="rId4" w:history="1">
            <w:r w:rsidR="00467150" w:rsidRPr="001B22D8">
              <w:rPr>
                <w:rStyle w:val="a8"/>
                <w:rFonts w:eastAsiaTheme="minorEastAsia"/>
                <w:noProof/>
                <w:color w:val="595959" w:themeColor="text1" w:themeTint="A6"/>
                <w:sz w:val="14"/>
                <w:szCs w:val="14"/>
                <w:lang w:val="en-US"/>
              </w:rPr>
              <w:t>www.eda.admin.ch/bishkek</w:t>
            </w:r>
          </w:hyperlink>
        </w:p>
      </w:tc>
      <w:tc>
        <w:tcPr>
          <w:tcW w:w="5528" w:type="dxa"/>
          <w:gridSpan w:val="3"/>
        </w:tcPr>
        <w:p w14:paraId="11D2D142" w14:textId="77777777" w:rsidR="003261B7" w:rsidRPr="00F0735A" w:rsidRDefault="003261B7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</w:p>
        <w:p w14:paraId="5FB287F9" w14:textId="77777777" w:rsidR="00467150" w:rsidRPr="003261B7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ХЕЛЬВЕТАС </w:t>
          </w:r>
          <w:proofErr w:type="spellStart"/>
          <w:r w:rsidRPr="003261B7">
            <w:rPr>
              <w:color w:val="595959" w:themeColor="text1" w:themeTint="A6"/>
              <w:sz w:val="14"/>
              <w:szCs w:val="14"/>
            </w:rPr>
            <w:t>жана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</w:rPr>
            <w:t xml:space="preserve"> 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Өнүктүрүү Саясат Институту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3261B7">
            <w:rPr>
              <w:color w:val="595959" w:themeColor="text1" w:themeTint="A6"/>
              <w:sz w:val="14"/>
              <w:szCs w:val="14"/>
            </w:rPr>
            <w:t>тарабынан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3261B7">
            <w:rPr>
              <w:color w:val="595959" w:themeColor="text1" w:themeTint="A6"/>
              <w:sz w:val="14"/>
              <w:szCs w:val="14"/>
            </w:rPr>
            <w:t>аткарылат</w:t>
          </w:r>
          <w:proofErr w:type="spellEnd"/>
        </w:p>
        <w:p w14:paraId="5F1741BC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>Программа реализуется ХЕЛЬВЕТАС и Институтом Политики Развития</w:t>
          </w:r>
        </w:p>
        <w:p w14:paraId="1A41A0D1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 xml:space="preserve"> implemented by HELVETAS and Development Policy Institute</w:t>
          </w:r>
        </w:p>
        <w:p w14:paraId="62C32B65" w14:textId="77777777" w:rsidR="00467150" w:rsidRPr="003261B7" w:rsidRDefault="00467150" w:rsidP="00467150">
          <w:pPr>
            <w:rPr>
              <w:color w:val="595959" w:themeColor="text1" w:themeTint="A6"/>
              <w:sz w:val="8"/>
              <w:szCs w:val="8"/>
              <w:lang w:val="en-US"/>
            </w:rPr>
          </w:pPr>
        </w:p>
        <w:p w14:paraId="7464A7BE" w14:textId="77777777" w:rsidR="00467150" w:rsidRPr="00F0735A" w:rsidRDefault="0034211F" w:rsidP="00467150">
          <w:pPr>
            <w:pStyle w:val="a5"/>
            <w:rPr>
              <w:sz w:val="14"/>
              <w:szCs w:val="14"/>
              <w:lang w:val="en-US"/>
            </w:rPr>
          </w:pPr>
          <w:hyperlink r:id="rId5" w:history="1"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www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helvetas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kg</w:t>
            </w:r>
          </w:hyperlink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 xml:space="preserve">, 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www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dpi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kg</w:t>
          </w:r>
        </w:p>
      </w:tc>
    </w:tr>
  </w:tbl>
  <w:p w14:paraId="68F37EE8" w14:textId="77777777" w:rsidR="00467150" w:rsidRPr="00F0735A" w:rsidRDefault="00467150" w:rsidP="003261B7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1B9B" w14:textId="77777777" w:rsidR="0034211F" w:rsidRDefault="0034211F" w:rsidP="00467150">
      <w:pPr>
        <w:spacing w:after="0" w:line="240" w:lineRule="auto"/>
      </w:pPr>
      <w:r>
        <w:separator/>
      </w:r>
    </w:p>
  </w:footnote>
  <w:footnote w:type="continuationSeparator" w:id="0">
    <w:p w14:paraId="13C2D213" w14:textId="77777777" w:rsidR="0034211F" w:rsidRDefault="0034211F" w:rsidP="004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544"/>
      <w:gridCol w:w="2398"/>
    </w:tblGrid>
    <w:tr w:rsidR="00467150" w:rsidRPr="00467150" w14:paraId="0F8B3FC0" w14:textId="77777777" w:rsidTr="003261B7">
      <w:tc>
        <w:tcPr>
          <w:tcW w:w="3969" w:type="dxa"/>
        </w:tcPr>
        <w:p w14:paraId="76F51750" w14:textId="77777777" w:rsidR="00467150" w:rsidRPr="00467150" w:rsidRDefault="00467150" w:rsidP="00467150">
          <w:pPr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“Жергиликтүү деңгээлде кызмат көрсөтүүлөрдү жакшыртуу”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 xml:space="preserve"> </w:t>
          </w:r>
          <w:r w:rsidR="003261B7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Д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олбоору</w:t>
          </w:r>
        </w:p>
        <w:p w14:paraId="338C4815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3544" w:type="dxa"/>
        </w:tcPr>
        <w:p w14:paraId="27B61663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Проект «Улучшение услуг</w:t>
          </w:r>
        </w:p>
        <w:p w14:paraId="0F8595C1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на местном уровне»</w:t>
          </w:r>
        </w:p>
        <w:p w14:paraId="12CED306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2398" w:type="dxa"/>
        </w:tcPr>
        <w:p w14:paraId="238252B7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Public Service</w:t>
          </w:r>
        </w:p>
        <w:p w14:paraId="59ABFF89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Improvement Project</w:t>
          </w:r>
        </w:p>
        <w:p w14:paraId="3677086E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</w:tr>
  </w:tbl>
  <w:p w14:paraId="6C196FC8" w14:textId="77777777" w:rsidR="00467150" w:rsidRDefault="00467150" w:rsidP="00467150">
    <w:pPr>
      <w:spacing w:after="0" w:line="240" w:lineRule="auto"/>
      <w:jc w:val="center"/>
      <w:rPr>
        <w:color w:val="595959" w:themeColor="text1" w:themeTint="A6"/>
        <w:sz w:val="16"/>
        <w:szCs w:val="16"/>
      </w:rPr>
    </w:pPr>
  </w:p>
  <w:p w14:paraId="26E22CFD" w14:textId="77777777" w:rsidR="00467150" w:rsidRPr="00467150" w:rsidRDefault="00467150" w:rsidP="00467150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>Кыргызстан,</w:t>
    </w:r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Бишкек шаары, 720044, 7-линия көчөсү, 65-үй</w:t>
    </w:r>
    <w:r w:rsidR="00EE028C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/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65, </w:t>
    </w:r>
    <w:proofErr w:type="spellStart"/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>St</w:t>
    </w:r>
    <w:proofErr w:type="spellEnd"/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. 7 </w:t>
    </w:r>
    <w:proofErr w:type="spellStart"/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>Liniya</w:t>
    </w:r>
    <w:proofErr w:type="spellEnd"/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720044,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  <w:lang w:val="en-US"/>
      </w:rPr>
      <w:t>Bishkek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Kyrgyzstan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,</w:t>
    </w:r>
  </w:p>
  <w:p w14:paraId="4DE4BDF3" w14:textId="77777777" w:rsidR="00467150" w:rsidRDefault="00467150" w:rsidP="00467150">
    <w:pPr>
      <w:pStyle w:val="a3"/>
      <w:jc w:val="center"/>
      <w:rPr>
        <w:rStyle w:val="a8"/>
        <w:rFonts w:ascii="Arial" w:hAnsi="Arial" w:cs="Arial"/>
        <w:color w:val="595959" w:themeColor="text1" w:themeTint="A6"/>
        <w:sz w:val="16"/>
        <w:szCs w:val="16"/>
        <w:lang w:val="de-CH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Тел. / </w:t>
    </w:r>
    <w:proofErr w:type="spellStart"/>
    <w:r w:rsidRPr="00467150">
      <w:rPr>
        <w:rFonts w:ascii="Arial" w:hAnsi="Arial" w:cs="Arial"/>
        <w:color w:val="595959" w:themeColor="text1" w:themeTint="A6"/>
        <w:sz w:val="16"/>
        <w:szCs w:val="16"/>
        <w:lang w:val="de-CH"/>
      </w:rPr>
      <w:t>tel</w:t>
    </w:r>
    <w:proofErr w:type="spellEnd"/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.: + 996 312 21 45 72/73, Факс.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Fax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: +996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 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312 21 45 78, </w:t>
    </w:r>
    <w:hyperlink r:id="rId1" w:history="1">
      <w:r w:rsidR="00CD2E9C" w:rsidRPr="00D37D64">
        <w:rPr>
          <w:rStyle w:val="a8"/>
          <w:rFonts w:ascii="Arial" w:hAnsi="Arial" w:cs="Arial"/>
          <w:sz w:val="16"/>
          <w:szCs w:val="16"/>
          <w:lang w:val="de-CH"/>
        </w:rPr>
        <w:t>AMambetova@dpi.kg</w:t>
      </w:r>
    </w:hyperlink>
    <w:r w:rsidR="00CD2E9C">
      <w:rPr>
        <w:rFonts w:ascii="Arial" w:hAnsi="Arial" w:cs="Arial"/>
        <w:sz w:val="16"/>
        <w:szCs w:val="16"/>
        <w:lang w:val="de-CH"/>
      </w:rPr>
      <w:t xml:space="preserve"> </w:t>
    </w:r>
  </w:p>
  <w:p w14:paraId="5B57FD86" w14:textId="77777777" w:rsidR="00AA1AD0" w:rsidRDefault="00AA1AD0" w:rsidP="00AA1AD0">
    <w:pPr>
      <w:spacing w:after="0" w:line="240" w:lineRule="auto"/>
      <w:rPr>
        <w:rFonts w:ascii="Arial" w:hAnsi="Arial" w:cs="Arial"/>
        <w:color w:val="595959" w:themeColor="text1" w:themeTint="A6"/>
        <w:sz w:val="16"/>
        <w:szCs w:val="16"/>
        <w:lang w:val="ky-KG"/>
      </w:rPr>
    </w:pPr>
  </w:p>
  <w:p w14:paraId="59A5ED3F" w14:textId="77777777" w:rsidR="00AA1AD0" w:rsidRPr="00467150" w:rsidRDefault="00AA1AD0" w:rsidP="00467150">
    <w:pPr>
      <w:pStyle w:val="a3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805"/>
    <w:multiLevelType w:val="hybridMultilevel"/>
    <w:tmpl w:val="8ACA0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2DF7"/>
    <w:multiLevelType w:val="hybridMultilevel"/>
    <w:tmpl w:val="5FA8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5EA4"/>
    <w:multiLevelType w:val="hybridMultilevel"/>
    <w:tmpl w:val="0D3C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CBD"/>
    <w:multiLevelType w:val="hybridMultilevel"/>
    <w:tmpl w:val="5D4C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tTAwMzY2tTAxNjJS0lEKTi0uzszPAymwqAUAaMaPDSwAAAA="/>
  </w:docVars>
  <w:rsids>
    <w:rsidRoot w:val="00467150"/>
    <w:rsid w:val="000062C4"/>
    <w:rsid w:val="00006DEC"/>
    <w:rsid w:val="00027367"/>
    <w:rsid w:val="00065916"/>
    <w:rsid w:val="000863E4"/>
    <w:rsid w:val="00090285"/>
    <w:rsid w:val="000B3854"/>
    <w:rsid w:val="000B4AA8"/>
    <w:rsid w:val="000D0EB1"/>
    <w:rsid w:val="0011401D"/>
    <w:rsid w:val="001178BF"/>
    <w:rsid w:val="0012306A"/>
    <w:rsid w:val="00133DFE"/>
    <w:rsid w:val="0013422F"/>
    <w:rsid w:val="0013678E"/>
    <w:rsid w:val="00137809"/>
    <w:rsid w:val="00147D1D"/>
    <w:rsid w:val="00160189"/>
    <w:rsid w:val="001A304F"/>
    <w:rsid w:val="001A6D54"/>
    <w:rsid w:val="001B5FE5"/>
    <w:rsid w:val="001C3D01"/>
    <w:rsid w:val="001F0847"/>
    <w:rsid w:val="001F3BB3"/>
    <w:rsid w:val="001F6048"/>
    <w:rsid w:val="0020564A"/>
    <w:rsid w:val="00212523"/>
    <w:rsid w:val="0021303D"/>
    <w:rsid w:val="002168A4"/>
    <w:rsid w:val="00230AA2"/>
    <w:rsid w:val="00272F42"/>
    <w:rsid w:val="00273969"/>
    <w:rsid w:val="002959B6"/>
    <w:rsid w:val="00296B71"/>
    <w:rsid w:val="002A56FC"/>
    <w:rsid w:val="002C447D"/>
    <w:rsid w:val="002D2397"/>
    <w:rsid w:val="002F4052"/>
    <w:rsid w:val="002F5336"/>
    <w:rsid w:val="00316DF9"/>
    <w:rsid w:val="003261B7"/>
    <w:rsid w:val="00333383"/>
    <w:rsid w:val="00336900"/>
    <w:rsid w:val="0034211F"/>
    <w:rsid w:val="003665C1"/>
    <w:rsid w:val="00366882"/>
    <w:rsid w:val="003674F2"/>
    <w:rsid w:val="00383E01"/>
    <w:rsid w:val="00405529"/>
    <w:rsid w:val="00422692"/>
    <w:rsid w:val="00433516"/>
    <w:rsid w:val="00454523"/>
    <w:rsid w:val="004617E4"/>
    <w:rsid w:val="004628E2"/>
    <w:rsid w:val="00467150"/>
    <w:rsid w:val="00470C46"/>
    <w:rsid w:val="004811C2"/>
    <w:rsid w:val="004A4866"/>
    <w:rsid w:val="004A6449"/>
    <w:rsid w:val="004C1FE0"/>
    <w:rsid w:val="004D1E53"/>
    <w:rsid w:val="004D51BC"/>
    <w:rsid w:val="004F1EAE"/>
    <w:rsid w:val="005028B6"/>
    <w:rsid w:val="0051545C"/>
    <w:rsid w:val="00580802"/>
    <w:rsid w:val="0058570A"/>
    <w:rsid w:val="005B2732"/>
    <w:rsid w:val="005B3612"/>
    <w:rsid w:val="005D00EB"/>
    <w:rsid w:val="005D366C"/>
    <w:rsid w:val="005E3B5E"/>
    <w:rsid w:val="005F362F"/>
    <w:rsid w:val="0060095B"/>
    <w:rsid w:val="00627F21"/>
    <w:rsid w:val="00631FD3"/>
    <w:rsid w:val="0063629A"/>
    <w:rsid w:val="00640252"/>
    <w:rsid w:val="0068181E"/>
    <w:rsid w:val="00683786"/>
    <w:rsid w:val="00686E73"/>
    <w:rsid w:val="006A4E40"/>
    <w:rsid w:val="006A6D18"/>
    <w:rsid w:val="006B5C90"/>
    <w:rsid w:val="006C79E9"/>
    <w:rsid w:val="006D39D2"/>
    <w:rsid w:val="006E42DA"/>
    <w:rsid w:val="00702AAF"/>
    <w:rsid w:val="007103B2"/>
    <w:rsid w:val="00713B55"/>
    <w:rsid w:val="00716DEE"/>
    <w:rsid w:val="007342A9"/>
    <w:rsid w:val="007603EC"/>
    <w:rsid w:val="00763B95"/>
    <w:rsid w:val="007743CC"/>
    <w:rsid w:val="00786AFB"/>
    <w:rsid w:val="007874E8"/>
    <w:rsid w:val="007A56D0"/>
    <w:rsid w:val="007B299F"/>
    <w:rsid w:val="00800932"/>
    <w:rsid w:val="008111AD"/>
    <w:rsid w:val="00850374"/>
    <w:rsid w:val="00854742"/>
    <w:rsid w:val="00864C42"/>
    <w:rsid w:val="0087031C"/>
    <w:rsid w:val="008B5567"/>
    <w:rsid w:val="008C261E"/>
    <w:rsid w:val="008D5EF8"/>
    <w:rsid w:val="00920E79"/>
    <w:rsid w:val="0092156D"/>
    <w:rsid w:val="00947175"/>
    <w:rsid w:val="0095336B"/>
    <w:rsid w:val="00954AED"/>
    <w:rsid w:val="009662AD"/>
    <w:rsid w:val="00996336"/>
    <w:rsid w:val="009B6EFA"/>
    <w:rsid w:val="009F6745"/>
    <w:rsid w:val="00A24BC8"/>
    <w:rsid w:val="00A3004A"/>
    <w:rsid w:val="00A34630"/>
    <w:rsid w:val="00A36AF6"/>
    <w:rsid w:val="00A43159"/>
    <w:rsid w:val="00A44401"/>
    <w:rsid w:val="00A51DF9"/>
    <w:rsid w:val="00A539CB"/>
    <w:rsid w:val="00A54105"/>
    <w:rsid w:val="00A57911"/>
    <w:rsid w:val="00A57E7B"/>
    <w:rsid w:val="00A72A67"/>
    <w:rsid w:val="00AA1AD0"/>
    <w:rsid w:val="00AA5CA8"/>
    <w:rsid w:val="00AD7867"/>
    <w:rsid w:val="00AE3E69"/>
    <w:rsid w:val="00B002C2"/>
    <w:rsid w:val="00B03C8C"/>
    <w:rsid w:val="00B2739C"/>
    <w:rsid w:val="00B34592"/>
    <w:rsid w:val="00B37DBA"/>
    <w:rsid w:val="00B658FB"/>
    <w:rsid w:val="00B674C4"/>
    <w:rsid w:val="00B739AC"/>
    <w:rsid w:val="00B74BA2"/>
    <w:rsid w:val="00B81FB7"/>
    <w:rsid w:val="00B902A9"/>
    <w:rsid w:val="00B9428D"/>
    <w:rsid w:val="00BA3112"/>
    <w:rsid w:val="00BB05E2"/>
    <w:rsid w:val="00BB650C"/>
    <w:rsid w:val="00BD0664"/>
    <w:rsid w:val="00BE7B4C"/>
    <w:rsid w:val="00BF05D6"/>
    <w:rsid w:val="00C03781"/>
    <w:rsid w:val="00C05851"/>
    <w:rsid w:val="00C11D5A"/>
    <w:rsid w:val="00C43F5B"/>
    <w:rsid w:val="00C455DD"/>
    <w:rsid w:val="00C526FE"/>
    <w:rsid w:val="00C7377D"/>
    <w:rsid w:val="00C7634E"/>
    <w:rsid w:val="00C83192"/>
    <w:rsid w:val="00C879D1"/>
    <w:rsid w:val="00C9519D"/>
    <w:rsid w:val="00CA08C5"/>
    <w:rsid w:val="00CB0430"/>
    <w:rsid w:val="00CC3B5E"/>
    <w:rsid w:val="00CC7EB5"/>
    <w:rsid w:val="00CD2E9C"/>
    <w:rsid w:val="00CD6291"/>
    <w:rsid w:val="00D06C75"/>
    <w:rsid w:val="00D26E04"/>
    <w:rsid w:val="00D27141"/>
    <w:rsid w:val="00D31E8B"/>
    <w:rsid w:val="00D52E8D"/>
    <w:rsid w:val="00DC7AE9"/>
    <w:rsid w:val="00DE575A"/>
    <w:rsid w:val="00DF2652"/>
    <w:rsid w:val="00DF2A83"/>
    <w:rsid w:val="00DF2D1E"/>
    <w:rsid w:val="00DF6657"/>
    <w:rsid w:val="00E0140A"/>
    <w:rsid w:val="00E01818"/>
    <w:rsid w:val="00E07F0C"/>
    <w:rsid w:val="00E10C20"/>
    <w:rsid w:val="00E1463B"/>
    <w:rsid w:val="00E20652"/>
    <w:rsid w:val="00E2442C"/>
    <w:rsid w:val="00E579E0"/>
    <w:rsid w:val="00E671C2"/>
    <w:rsid w:val="00E82B91"/>
    <w:rsid w:val="00E850F2"/>
    <w:rsid w:val="00E85965"/>
    <w:rsid w:val="00EA1237"/>
    <w:rsid w:val="00EC239D"/>
    <w:rsid w:val="00EE0110"/>
    <w:rsid w:val="00EE028C"/>
    <w:rsid w:val="00EF3232"/>
    <w:rsid w:val="00F0735A"/>
    <w:rsid w:val="00F30CF9"/>
    <w:rsid w:val="00F56C36"/>
    <w:rsid w:val="00F655E9"/>
    <w:rsid w:val="00FB11C2"/>
    <w:rsid w:val="00FE53D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FE42"/>
  <w15:docId w15:val="{CEC1CB3F-3F17-4E5E-9418-B4083313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helvetas.kg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1C97-8F84-42F7-B1B8-6B113136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Асель</cp:lastModifiedBy>
  <cp:revision>2</cp:revision>
  <cp:lastPrinted>2020-10-28T08:46:00Z</cp:lastPrinted>
  <dcterms:created xsi:type="dcterms:W3CDTF">2020-11-05T10:16:00Z</dcterms:created>
  <dcterms:modified xsi:type="dcterms:W3CDTF">2020-11-05T10:16:00Z</dcterms:modified>
</cp:coreProperties>
</file>