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CB" w:rsidRPr="00D07B28" w:rsidRDefault="00CA27CB" w:rsidP="00E63AEA">
      <w:pPr>
        <w:pStyle w:val="tkNazvanie"/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D07B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</w:p>
    <w:p w:rsidR="00807C5E" w:rsidRPr="00D07B28" w:rsidRDefault="00807C5E" w:rsidP="00E63AEA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04D7" w:rsidRPr="00D07B28" w:rsidRDefault="007A04D7" w:rsidP="00E63AEA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04D7" w:rsidRPr="00D07B28" w:rsidRDefault="007A04D7" w:rsidP="00E63AEA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0048" w:rsidRPr="00D07B28" w:rsidRDefault="00910048" w:rsidP="00E63AEA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AEA" w:rsidRPr="00D07B28" w:rsidRDefault="00E63AEA" w:rsidP="00C006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5E031F" w:rsidRPr="00D07B28">
        <w:rPr>
          <w:rFonts w:ascii="Times New Roman" w:hAnsi="Times New Roman"/>
          <w:b/>
          <w:color w:val="000000" w:themeColor="text1"/>
          <w:sz w:val="28"/>
          <w:szCs w:val="28"/>
        </w:rPr>
        <w:t>рядок</w:t>
      </w:r>
    </w:p>
    <w:p w:rsidR="0080361F" w:rsidRPr="00D07B28" w:rsidRDefault="005E031F" w:rsidP="00C006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контроля,</w:t>
      </w:r>
      <w:r w:rsidR="00E63AEA"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мониторинга и оценки </w:t>
      </w:r>
    </w:p>
    <w:p w:rsidR="0080361F" w:rsidRPr="00D07B28" w:rsidRDefault="00E63AEA" w:rsidP="00C006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реализации общественно</w:t>
      </w:r>
      <w:r w:rsidR="00B73132"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полезных проектов в рамках </w:t>
      </w:r>
    </w:p>
    <w:p w:rsidR="00E63AEA" w:rsidRPr="00D07B28" w:rsidRDefault="00E63AEA" w:rsidP="00C006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государственного социального заказа</w:t>
      </w:r>
    </w:p>
    <w:p w:rsidR="00E63AEA" w:rsidRPr="00D07B28" w:rsidRDefault="00E63AEA" w:rsidP="00E63AEA">
      <w:pPr>
        <w:widowControl w:val="0"/>
        <w:spacing w:after="0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AEA" w:rsidRPr="00D07B28" w:rsidRDefault="00E63AEA" w:rsidP="0092096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CE6930" w:rsidRPr="00D07B28" w:rsidRDefault="00CE6930" w:rsidP="00E63AEA">
      <w:pPr>
        <w:pStyle w:val="tkTekst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6C6" w:rsidRPr="00D07B28" w:rsidRDefault="00E63AEA" w:rsidP="00910048">
      <w:pPr>
        <w:pStyle w:val="tkTekst"/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E031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E031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рядок </w:t>
      </w:r>
      <w:r w:rsidR="00BD664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Законом Кыргызской Республики «О государственном социальном заказе» и </w:t>
      </w:r>
      <w:r w:rsidR="005E031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правовые основы и условия осуществления 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и оценки реализации общественно</w:t>
      </w:r>
      <w:r w:rsidR="00B73132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полезных проектов</w:t>
      </w:r>
      <w:r w:rsidR="0080361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государственного социального заказа</w:t>
      </w:r>
      <w:r w:rsidR="00BD664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00695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D664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Порядок)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3AEA" w:rsidRPr="00D07B28" w:rsidRDefault="00E63AEA" w:rsidP="00910048">
      <w:pPr>
        <w:pStyle w:val="tkTekst"/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</w:t>
      </w:r>
      <w:r w:rsidR="00920960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и оценки явля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объективной оценки уровня реализации общественно полезных проектов</w:t>
      </w:r>
      <w:r w:rsidR="002443FD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C6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для своевременного</w:t>
      </w:r>
      <w:r w:rsidR="002443FD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предупреждения, выявления и устранения недостатков </w:t>
      </w:r>
      <w:r w:rsidR="00C00695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2443FD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C00695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ении</w:t>
      </w:r>
      <w:r w:rsidR="002443FD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960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="002443FD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услуг.</w:t>
      </w:r>
    </w:p>
    <w:p w:rsidR="00E63AEA" w:rsidRPr="00D07B28" w:rsidRDefault="00E63AEA" w:rsidP="00910048">
      <w:pPr>
        <w:pStyle w:val="tkTekst"/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920960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контроля,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и оценки являются:</w:t>
      </w:r>
    </w:p>
    <w:p w:rsidR="00E63AEA" w:rsidRPr="00D07B28" w:rsidRDefault="00920960" w:rsidP="000C4459">
      <w:pPr>
        <w:pStyle w:val="tkTek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63AEA" w:rsidRPr="00D07B28" w:rsidRDefault="00E63AEA" w:rsidP="000C4459">
      <w:pPr>
        <w:pStyle w:val="tkTek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качества предоставляемых </w:t>
      </w:r>
      <w:r w:rsidR="00920960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требованиям минимальных стандартов </w:t>
      </w:r>
      <w:r w:rsidR="00127308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услуг и (или) требовани</w:t>
      </w:r>
      <w:r w:rsidR="00F2202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заказчика (в случае отсутствия утвержденных стандартов услуг);</w:t>
      </w:r>
    </w:p>
    <w:p w:rsidR="00E63AEA" w:rsidRPr="00D07B28" w:rsidRDefault="00E63AEA" w:rsidP="000C4459">
      <w:pPr>
        <w:pStyle w:val="tkTek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оценка удовлетворенности получателей услуг качеством и доступностью социальных услуг;</w:t>
      </w:r>
    </w:p>
    <w:p w:rsidR="00E63AEA" w:rsidRPr="00D07B28" w:rsidRDefault="00E63AEA" w:rsidP="000C4459">
      <w:pPr>
        <w:pStyle w:val="tkTek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проблем</w:t>
      </w:r>
      <w:r w:rsidR="00BD664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препятствий при реализации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AEA" w:rsidRPr="00D07B28" w:rsidRDefault="00BD664A" w:rsidP="000C4459">
      <w:pPr>
        <w:pStyle w:val="tkTek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сбор предложений и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02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DE197E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202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омендаций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решений по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 процессов реализации государственного социального заказа.</w:t>
      </w:r>
    </w:p>
    <w:p w:rsidR="00F2202F" w:rsidRPr="00D07B28" w:rsidRDefault="00F2202F" w:rsidP="00910048">
      <w:pPr>
        <w:pStyle w:val="tkTekst"/>
        <w:numPr>
          <w:ilvl w:val="1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Контроль, мониторинг и оценка реализации общественно полезн</w:t>
      </w:r>
      <w:r w:rsidR="00596D0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596D0F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осуществляемые государственным заказчиком, а также соответствующими государственными органами, наделенными функциями контроля и надзора</w:t>
      </w:r>
      <w:r w:rsidR="00DE197E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должны препятствовать реализации общественно полезного проекта.</w:t>
      </w:r>
    </w:p>
    <w:p w:rsidR="00E471AB" w:rsidRPr="00D07B28" w:rsidRDefault="00E471AB" w:rsidP="00910048">
      <w:pPr>
        <w:pStyle w:val="tkTekst"/>
        <w:tabs>
          <w:tab w:val="num" w:pos="0"/>
          <w:tab w:val="left" w:pos="1134"/>
        </w:tabs>
        <w:spacing w:after="0" w:line="240" w:lineRule="auto"/>
        <w:ind w:left="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4D7" w:rsidRPr="00D07B28" w:rsidRDefault="007A04D7" w:rsidP="00910048">
      <w:pPr>
        <w:pStyle w:val="tkTekst"/>
        <w:tabs>
          <w:tab w:val="num" w:pos="0"/>
          <w:tab w:val="left" w:pos="1134"/>
        </w:tabs>
        <w:spacing w:after="0" w:line="240" w:lineRule="auto"/>
        <w:ind w:left="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695" w:rsidRPr="00D07B28" w:rsidRDefault="00C00695" w:rsidP="00910048">
      <w:pPr>
        <w:pStyle w:val="tkTekst"/>
        <w:tabs>
          <w:tab w:val="num" w:pos="0"/>
          <w:tab w:val="left" w:pos="1134"/>
        </w:tabs>
        <w:spacing w:after="0" w:line="240" w:lineRule="auto"/>
        <w:ind w:left="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4D7" w:rsidRPr="00D07B28" w:rsidRDefault="007A04D7" w:rsidP="00910048">
      <w:pPr>
        <w:pStyle w:val="tkTekst"/>
        <w:tabs>
          <w:tab w:val="num" w:pos="0"/>
          <w:tab w:val="left" w:pos="1134"/>
        </w:tabs>
        <w:spacing w:after="0" w:line="240" w:lineRule="auto"/>
        <w:ind w:left="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EA" w:rsidRPr="00D07B28" w:rsidRDefault="00E63AEA" w:rsidP="00910048">
      <w:pPr>
        <w:widowControl w:val="0"/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Организация проведения </w:t>
      </w:r>
      <w:r w:rsidR="004540DA"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контроля, 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мониторинга и оценки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3C7" w:rsidRPr="00D07B28">
        <w:rPr>
          <w:rFonts w:ascii="Times New Roman" w:hAnsi="Times New Roman"/>
          <w:b/>
          <w:color w:val="000000" w:themeColor="text1"/>
          <w:sz w:val="28"/>
          <w:szCs w:val="28"/>
        </w:rPr>
        <w:t>реализации общественно полезных проектов</w:t>
      </w:r>
    </w:p>
    <w:p w:rsidR="00910048" w:rsidRPr="00D07B28" w:rsidRDefault="00910048" w:rsidP="00910048">
      <w:pPr>
        <w:widowControl w:val="0"/>
        <w:spacing w:after="0" w:line="240" w:lineRule="auto"/>
        <w:ind w:left="106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19A7" w:rsidRPr="00D07B28" w:rsidRDefault="004278FF" w:rsidP="00910048">
      <w:pPr>
        <w:pStyle w:val="tkTekst"/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695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930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использованием грантовых средств </w:t>
      </w:r>
      <w:r w:rsidR="00E63AE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государственным заказчиком,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соответствующими государственными органами</w:t>
      </w:r>
      <w:r w:rsidR="00552F24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</w:t>
      </w:r>
      <w:r w:rsidR="00552F24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DE197E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552F24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ными функциями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надзора и контрол</w:t>
      </w:r>
      <w:r w:rsidR="00552F24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336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9A7" w:rsidRPr="00D07B28" w:rsidRDefault="00EB43C7" w:rsidP="00910048">
      <w:pPr>
        <w:pStyle w:val="tkTekst"/>
        <w:numPr>
          <w:ilvl w:val="0"/>
          <w:numId w:val="29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и оценка </w:t>
      </w:r>
      <w:r w:rsidR="00FE19A7" w:rsidRPr="00D07B28">
        <w:rPr>
          <w:rFonts w:ascii="Times New Roman" w:hAnsi="Times New Roman"/>
          <w:color w:val="000000" w:themeColor="text1"/>
          <w:sz w:val="28"/>
          <w:szCs w:val="28"/>
        </w:rPr>
        <w:t>реализации общественно полезных проектов осуществля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E19A7" w:rsidRPr="00D07B28">
        <w:rPr>
          <w:rFonts w:ascii="Times New Roman" w:hAnsi="Times New Roman"/>
          <w:color w:val="000000" w:themeColor="text1"/>
          <w:sz w:val="28"/>
          <w:szCs w:val="28"/>
        </w:rPr>
        <w:t>тся государственным заказчиком самостоятельно или с привлечением независимых экспертов.</w:t>
      </w:r>
    </w:p>
    <w:p w:rsidR="00C74324" w:rsidRPr="00D07B28" w:rsidRDefault="001E7B1C" w:rsidP="00910048">
      <w:pPr>
        <w:pStyle w:val="tkTekst"/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реализации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согласно индикаторам оценки реализации проекта, установленным настоящим Порядком. </w:t>
      </w:r>
    </w:p>
    <w:p w:rsidR="0080309E" w:rsidRPr="00D07B28" w:rsidRDefault="00B00461" w:rsidP="00910048">
      <w:pPr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540D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ониторинг и оценка реализуемого </w:t>
      </w:r>
      <w:r w:rsidR="00BD664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полезного </w:t>
      </w:r>
      <w:r w:rsidR="004540DA" w:rsidRPr="00D07B28">
        <w:rPr>
          <w:rFonts w:ascii="Times New Roman" w:hAnsi="Times New Roman"/>
          <w:color w:val="000000" w:themeColor="text1"/>
          <w:sz w:val="28"/>
          <w:szCs w:val="28"/>
        </w:rPr>
        <w:t>проекта провод</w:t>
      </w:r>
      <w:r w:rsidR="005A532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540D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тся согласно </w:t>
      </w:r>
      <w:r w:rsidR="00E471AB" w:rsidRPr="00D07B28">
        <w:rPr>
          <w:rFonts w:ascii="Times New Roman" w:hAnsi="Times New Roman"/>
          <w:color w:val="000000" w:themeColor="text1"/>
          <w:sz w:val="28"/>
          <w:szCs w:val="28"/>
        </w:rPr>
        <w:t>техническому заданию (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F34AC" w:rsidRPr="00D07B28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BD664A"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F34AC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настоящему Порядку</w:t>
      </w:r>
      <w:r w:rsidR="00E471AB" w:rsidRPr="00D07B2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540DA"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Техническое задание должно содержать:</w:t>
      </w:r>
    </w:p>
    <w:p w:rsidR="0080309E" w:rsidRPr="00D07B28" w:rsidRDefault="00152FCD" w:rsidP="009100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описание задач, этапов и сроков проведения мониторинга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 оценки его результатов; </w:t>
      </w:r>
    </w:p>
    <w:p w:rsidR="0080309E" w:rsidRPr="00D07B28" w:rsidRDefault="00152FCD" w:rsidP="00030D6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030D60" w:rsidRPr="00D07B28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>вопросы проведения мониторинга и оценки;</w:t>
      </w:r>
    </w:p>
    <w:p w:rsidR="0080309E" w:rsidRPr="00D07B28" w:rsidRDefault="00152FCD" w:rsidP="009100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состав рабочей группы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по проведению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 оценк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309E" w:rsidRPr="00D07B28" w:rsidRDefault="00152FCD" w:rsidP="009100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индикаторы для мониторинга и оценки реализации проекта; </w:t>
      </w:r>
    </w:p>
    <w:p w:rsidR="00C74324" w:rsidRPr="00D07B28" w:rsidRDefault="00152FCD" w:rsidP="009100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анализ предварительной информации об объекте мониторинга (результаты предыдущего мониторинга, контактная и техническая информация об объекте мониторинга, предложения и жалобы получателей услуг и т.п.); </w:t>
      </w:r>
    </w:p>
    <w:p w:rsidR="00BD664A" w:rsidRPr="00D07B28" w:rsidRDefault="00152FCD" w:rsidP="00152FC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иные 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необходимые меры и инструменты для 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>проведения мониторинга и оценки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450" w:rsidRPr="00D07B28" w:rsidRDefault="00BD664A" w:rsidP="00910048">
      <w:pPr>
        <w:pStyle w:val="tkTekst"/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ониторинг и оценка реализации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4639C7" w:rsidRPr="00D07B28">
        <w:rPr>
          <w:rFonts w:ascii="Times New Roman" w:hAnsi="Times New Roman"/>
          <w:color w:val="000000" w:themeColor="text1"/>
          <w:sz w:val="28"/>
          <w:szCs w:val="28"/>
        </w:rPr>
        <w:t>согласно годовому плану-графику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>, утверждаемом</w:t>
      </w:r>
      <w:r w:rsidR="004639C7" w:rsidRPr="00D07B2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государственным заказчиком. В плане-графике указываются наименовани</w:t>
      </w:r>
      <w:r w:rsidR="005A532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3C7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полезных проектов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>срок</w:t>
      </w:r>
      <w:r w:rsidR="005A53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место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мониторинга и оценки 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52450" w:rsidRPr="00D07B28" w:rsidRDefault="00BD664A" w:rsidP="00910048">
      <w:pPr>
        <w:pStyle w:val="tkTekst"/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>Исполнитель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осуществляющий 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>мониторинг и оценк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>реализации общественно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полезных проектов,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через почтовую или электронную связь (электронная почта, факс) </w:t>
      </w:r>
      <w:r w:rsidR="00AB21E8">
        <w:rPr>
          <w:rFonts w:ascii="Times New Roman" w:hAnsi="Times New Roman"/>
          <w:color w:val="000000" w:themeColor="text1"/>
          <w:sz w:val="28"/>
          <w:szCs w:val="28"/>
        </w:rPr>
        <w:t>не менее</w:t>
      </w:r>
      <w:r w:rsidR="00C743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чем за 5 рабочих дней до начала проведения мониторинга и оценки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</w:t>
      </w:r>
      <w:r w:rsidR="00B00461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B00461" w:rsidRPr="00D07B28" w:rsidDel="00B004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письменное уведомление 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>исполнител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5245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госу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дарственного социального заказа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8395C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C7180" w:rsidRPr="00D07B28" w:rsidRDefault="00BD664A" w:rsidP="00152FCD">
      <w:pPr>
        <w:pStyle w:val="a8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>В случаях, когда</w:t>
      </w:r>
      <w:r w:rsidR="00552F24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и оценка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осуществляются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</w:t>
      </w:r>
      <w:r w:rsidR="001C718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енным заказчиком самостоятельно, </w:t>
      </w:r>
      <w:r w:rsidR="00AB21E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1C7180" w:rsidRPr="00D07B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ктом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заказчик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создает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а из числа </w:t>
      </w:r>
      <w:r w:rsidR="00950D23" w:rsidRPr="00D07B28">
        <w:rPr>
          <w:rFonts w:ascii="Times New Roman" w:hAnsi="Times New Roman"/>
          <w:color w:val="000000" w:themeColor="text1"/>
          <w:sz w:val="28"/>
          <w:szCs w:val="28"/>
        </w:rPr>
        <w:t>сотрудников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</w:t>
      </w:r>
      <w:r w:rsidR="00CE6930" w:rsidRPr="00D07B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заказчика, членов конкурсной комиссии и независимых экспертов (по согласованию). </w:t>
      </w:r>
    </w:p>
    <w:p w:rsidR="001C7180" w:rsidRPr="00D07B28" w:rsidRDefault="001C7180" w:rsidP="00152FCD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>случаях, когда</w:t>
      </w:r>
      <w:r w:rsidR="0070146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и оценка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государственным заказчиком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с привлечением независимых экспертов, государственный заказчик, в установленном законом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 государственных закупках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</w:rPr>
        <w:t>порядке, нанимает независимых</w:t>
      </w:r>
      <w:r w:rsidR="00006C0F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экспертов на </w:t>
      </w:r>
      <w:r w:rsidR="006D3C7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</w:t>
      </w:r>
      <w:r w:rsidR="00006C0F" w:rsidRPr="00D07B2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6D3C75" w:rsidRPr="00D07B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395C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8395C" w:rsidRPr="00D07B28">
        <w:rPr>
          <w:rFonts w:ascii="Times New Roman" w:hAnsi="Times New Roman"/>
          <w:color w:val="000000" w:themeColor="text1"/>
          <w:sz w:val="28"/>
          <w:szCs w:val="28"/>
        </w:rPr>
        <w:t>экспертная группа)</w:t>
      </w:r>
      <w:r w:rsidR="00006C0F"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34AC" w:rsidRPr="00D07B28" w:rsidRDefault="00E63AEA" w:rsidP="00152FCD">
      <w:pPr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мониторинга и оценки </w:t>
      </w:r>
      <w:r w:rsidR="001C718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1C7180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является обязательн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от получателей социальных услуг, работников организаци</w:t>
      </w:r>
      <w:r w:rsidR="00C00695" w:rsidRPr="00D07B2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, предоставляющих социальные услуги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иных лиц, участвующих в </w:t>
      </w:r>
      <w:r w:rsidR="001C7180" w:rsidRPr="00D07B2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309E" w:rsidRPr="00D07B28" w:rsidRDefault="0080309E" w:rsidP="0091004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0908" w:rsidRPr="00D07B28" w:rsidRDefault="00DF0908" w:rsidP="00781739">
      <w:pPr>
        <w:pStyle w:val="tkZagolovok2"/>
        <w:numPr>
          <w:ilvl w:val="0"/>
          <w:numId w:val="5"/>
        </w:numPr>
        <w:tabs>
          <w:tab w:val="num" w:pos="0"/>
        </w:tabs>
        <w:spacing w:before="0" w:after="0" w:line="240" w:lineRule="auto"/>
        <w:ind w:left="0" w:right="-1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Индикаторы оценки реализации </w:t>
      </w:r>
      <w:r w:rsidR="00F7140A"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 полезного </w:t>
      </w:r>
      <w:r w:rsidRPr="00D07B28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910048" w:rsidRPr="00D07B28" w:rsidRDefault="00910048" w:rsidP="00910048">
      <w:pPr>
        <w:pStyle w:val="tkZagolovok2"/>
        <w:spacing w:before="0" w:after="0" w:line="240" w:lineRule="auto"/>
        <w:ind w:left="0" w:right="-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908" w:rsidRPr="00D07B28" w:rsidRDefault="00DF0908" w:rsidP="00910048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Оценка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48395C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следующим индикатор</w:t>
      </w:r>
      <w:r w:rsidR="0048395C" w:rsidRPr="00D07B28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F0908" w:rsidRPr="00D07B28" w:rsidRDefault="006A361A" w:rsidP="00152FC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индикатор продуктивности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A417D7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F7140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специфики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F7140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>и позвол</w:t>
      </w:r>
      <w:r w:rsidR="00A417D7" w:rsidRPr="00D07B2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определить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фактическую стоимость единицы </w:t>
      </w:r>
      <w:r w:rsidR="00F7140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как отношение затрат на оказание социальных услуг, оказанных при реализации общественно полезного проекта, 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общему</w:t>
      </w:r>
      <w:r w:rsidR="009B4F6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количеству социальных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, чтобы сравнить 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>фактическую стоимость единицы социальной услуги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 другими показателями отрасли / других отраслей или с утвержденными для отрасли нормативами финансирования;</w:t>
      </w:r>
    </w:p>
    <w:p w:rsidR="00DF0908" w:rsidRPr="00D07B28" w:rsidRDefault="00A417D7" w:rsidP="00152FC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361A" w:rsidRPr="00D07B2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индикатор результативности </w:t>
      </w:r>
      <w:r w:rsidR="00F7140A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A9454B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измер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яется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степень достижения целей и задач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 полезного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Этот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индикатор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должен быть связан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 показателями результативности, применяемыми государственным заказчиком для мониторинга и оценки реализации отраслевых (бюджетных) программ и мер, в рамках которых 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реализуется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 полезный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проект. Индикатор результативности, помимо специфических отраслевых показателей, долж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н включать показатели удовлетвореннос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>ти получателей социальных услуг;</w:t>
      </w:r>
    </w:p>
    <w:p w:rsidR="00DF0908" w:rsidRPr="00D07B28" w:rsidRDefault="00A417D7" w:rsidP="00152FC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361A" w:rsidRPr="00D07B2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ндикаторы соответствия стандартам оказания социальных услуг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="000D2D03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оценивается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соответствия качества оказываемых услуг минимальны</w:t>
      </w:r>
      <w:r w:rsidR="00AB21E8">
        <w:rPr>
          <w:rFonts w:ascii="Times New Roman" w:hAnsi="Times New Roman"/>
          <w:color w:val="000000" w:themeColor="text1"/>
          <w:sz w:val="28"/>
          <w:szCs w:val="28"/>
        </w:rPr>
        <w:t>м стандартам услуг, утвержденным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для соответствующей отрасли, или, если такие стандарты не утверждены, требованиям,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установленным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государственным заказчиком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должны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включать показатели: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своевременности, оперативности и адресности предоставления социальных услуг;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полноты предоставляемых услуг (соответствие утвержденным для отрасли минимальным перечням социальных услуг);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наличия персонала, имеющего профессиональную подготовку для предоставления социальных услуг;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4F6B" w:rsidRPr="00D07B28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1E8" w:rsidRPr="00AB21E8"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квалификации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персонала</w:t>
      </w:r>
      <w:r w:rsidR="00AB21E8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установленным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треб</w:t>
      </w:r>
      <w:r w:rsidR="00AB21E8">
        <w:rPr>
          <w:rFonts w:ascii="Times New Roman" w:hAnsi="Times New Roman"/>
          <w:color w:val="000000" w:themeColor="text1"/>
          <w:sz w:val="28"/>
          <w:szCs w:val="28"/>
        </w:rPr>
        <w:t>ованиям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, соблюдение общих правил и норм профессиональной этики при оказании услуг;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наличия собственных или арендуемых площадей, соответствующих стандартам качества по оказываемой социальной услуге и санитарно-гигиеническим нормам (за исключением услуг, при оказании которых отсутствует необходимость в наличии помещений, согласно минимальным социальным стандартам по данной услуге); </w:t>
      </w:r>
    </w:p>
    <w:p w:rsidR="00DF0908" w:rsidRPr="00D07B28" w:rsidRDefault="0020635F" w:rsidP="0020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F0908" w:rsidRPr="00D07B28">
        <w:rPr>
          <w:rFonts w:ascii="Times New Roman" w:hAnsi="Times New Roman"/>
          <w:color w:val="000000" w:themeColor="text1"/>
          <w:sz w:val="28"/>
          <w:szCs w:val="28"/>
        </w:rPr>
        <w:t>наличие оборудования и устройств, необходимых для оказания социальной услуги.</w:t>
      </w:r>
    </w:p>
    <w:p w:rsidR="00DF0908" w:rsidRPr="00D07B28" w:rsidRDefault="00DF0908" w:rsidP="0091004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294E" w:rsidRPr="00D07B28" w:rsidRDefault="0080309E" w:rsidP="00910048">
      <w:pPr>
        <w:widowControl w:val="0"/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Анализ результ</w:t>
      </w:r>
      <w:r w:rsidR="00E4294E" w:rsidRPr="00D07B28">
        <w:rPr>
          <w:rFonts w:ascii="Times New Roman" w:hAnsi="Times New Roman"/>
          <w:b/>
          <w:color w:val="000000" w:themeColor="text1"/>
          <w:sz w:val="28"/>
          <w:szCs w:val="28"/>
        </w:rPr>
        <w:t>атов и подготовка рекомендаций</w:t>
      </w:r>
    </w:p>
    <w:p w:rsidR="00910048" w:rsidRPr="00D07B28" w:rsidRDefault="00910048" w:rsidP="00910048">
      <w:pPr>
        <w:widowControl w:val="0"/>
        <w:spacing w:after="0" w:line="240" w:lineRule="auto"/>
        <w:ind w:left="106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1BB5" w:rsidRPr="00D07B28" w:rsidRDefault="00462B8C" w:rsidP="00152FCD">
      <w:pPr>
        <w:pStyle w:val="a8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По результатам мониторинга и оценки реализации общественно полезных проектов</w:t>
      </w:r>
      <w:r w:rsidR="00911BB5" w:rsidRPr="00D07B28" w:rsidDel="00EB4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государственному заказчику в течение 3 календарных дней представляется отчет по форме</w:t>
      </w:r>
      <w:r w:rsidR="0020635F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7D5C09" w:rsidRPr="00D07B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E4294E" w:rsidRPr="00D07B28" w:rsidRDefault="0080309E" w:rsidP="00152FCD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Отчет о результатах мониторинга и оценки направляется государственно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заказчик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E4294E" w:rsidRPr="00D07B28">
        <w:rPr>
          <w:rFonts w:ascii="Times New Roman" w:hAnsi="Times New Roman"/>
          <w:color w:val="000000" w:themeColor="text1"/>
          <w:sz w:val="28"/>
          <w:szCs w:val="28"/>
        </w:rPr>
        <w:t>исполнител</w:t>
      </w:r>
      <w:r w:rsidR="00911BB5" w:rsidRPr="00D07B28">
        <w:rPr>
          <w:rFonts w:ascii="Times New Roman" w:hAnsi="Times New Roman"/>
          <w:color w:val="000000" w:themeColor="text1"/>
          <w:sz w:val="28"/>
          <w:szCs w:val="28"/>
        </w:rPr>
        <w:t>ю общественно полезного проекта</w:t>
      </w:r>
      <w:r w:rsidR="00E4294E"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395C" w:rsidRPr="00D07B28" w:rsidRDefault="0048395C" w:rsidP="00152FCD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мониторинга и оценки являются открытой информацией, которые могут быть обсуждены с заинтересованными государственными органами, представителями гражданского общества, органов местного самоуправления, независимыми экспертами, а также партнерами по развитию. </w:t>
      </w:r>
    </w:p>
    <w:p w:rsidR="00006C0F" w:rsidRPr="00D07B28" w:rsidRDefault="0080309E" w:rsidP="00152FCD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мониторинга и оценки рабочей группой и/ или экспертной </w:t>
      </w:r>
      <w:r w:rsidR="00006C0F" w:rsidRPr="00D07B28">
        <w:rPr>
          <w:rFonts w:ascii="Times New Roman" w:hAnsi="Times New Roman"/>
          <w:color w:val="000000" w:themeColor="text1"/>
          <w:sz w:val="28"/>
          <w:szCs w:val="28"/>
        </w:rPr>
        <w:t>группой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C09" w:rsidRPr="00D07B28">
        <w:rPr>
          <w:rFonts w:ascii="Times New Roman" w:hAnsi="Times New Roman"/>
          <w:color w:val="000000" w:themeColor="text1"/>
          <w:sz w:val="28"/>
          <w:szCs w:val="28"/>
        </w:rPr>
        <w:t>разрабатыва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ются рекомендации по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, которые подлежат обязательному выполнению исполнителями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309E" w:rsidRPr="00D07B28" w:rsidRDefault="00006C0F" w:rsidP="00152FCD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За невыполнение рекомендаций рабочей групп</w:t>
      </w:r>
      <w:r w:rsidR="007D5C09" w:rsidRPr="00D07B2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и/ или экспертной группы исполнитель государственного заказа</w:t>
      </w:r>
      <w:r w:rsidR="0080309E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несет ответственность, предусмотренную договором о реализации </w:t>
      </w:r>
      <w:r w:rsidR="00EB43C7" w:rsidRPr="00D07B28">
        <w:rPr>
          <w:rFonts w:ascii="Times New Roman" w:hAnsi="Times New Roman"/>
          <w:color w:val="000000" w:themeColor="text1"/>
          <w:sz w:val="28"/>
          <w:szCs w:val="28"/>
        </w:rPr>
        <w:t>общественно полезных проектов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3553" w:rsidRPr="00D07B28" w:rsidRDefault="00123553" w:rsidP="00152FCD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Государственный </w:t>
      </w:r>
      <w:r w:rsidR="0094166C" w:rsidRPr="00D07B28">
        <w:rPr>
          <w:rFonts w:ascii="Times New Roman" w:hAnsi="Times New Roman"/>
          <w:color w:val="000000" w:themeColor="text1"/>
          <w:sz w:val="28"/>
          <w:szCs w:val="28"/>
        </w:rPr>
        <w:t>заказчик проводит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обобщающий анализ индикаторов результативности для включения суммарных результатов по всем объектам мониторинга и оценки в отраслевые отчеты по индикаторам результативности бюджетных программ и мер.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10048" w:rsidRPr="00D07B28" w:rsidRDefault="00910048" w:rsidP="00E63AEA">
      <w:pPr>
        <w:widowControl w:val="0"/>
        <w:spacing w:after="0"/>
        <w:ind w:left="538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0048" w:rsidRPr="00D07B28" w:rsidRDefault="00910048" w:rsidP="00E63AEA">
      <w:pPr>
        <w:widowControl w:val="0"/>
        <w:spacing w:after="0"/>
        <w:ind w:left="538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4F6B" w:rsidRPr="00D07B28" w:rsidRDefault="009B4F6B" w:rsidP="00E63AEA">
      <w:pPr>
        <w:widowControl w:val="0"/>
        <w:spacing w:after="0"/>
        <w:ind w:left="538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166C" w:rsidRPr="00D07B28" w:rsidRDefault="0094166C" w:rsidP="00AB21E8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7837" w:rsidRPr="00D07B28" w:rsidRDefault="00E63AEA" w:rsidP="009B4F6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E63AEA" w:rsidRPr="00D07B28" w:rsidRDefault="00E63AEA" w:rsidP="009B4F6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к По</w:t>
      </w:r>
      <w:r w:rsidR="00C97837" w:rsidRPr="00D07B28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32B">
        <w:rPr>
          <w:rFonts w:ascii="Times New Roman" w:hAnsi="Times New Roman"/>
          <w:color w:val="000000" w:themeColor="text1"/>
          <w:sz w:val="24"/>
          <w:szCs w:val="24"/>
        </w:rPr>
        <w:t xml:space="preserve">контроля, 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>мониторинга и оценки реализаци</w:t>
      </w:r>
      <w:r w:rsidR="00462B8C" w:rsidRPr="00D07B28">
        <w:rPr>
          <w:rFonts w:ascii="Times New Roman" w:hAnsi="Times New Roman"/>
          <w:color w:val="000000" w:themeColor="text1"/>
          <w:sz w:val="24"/>
          <w:szCs w:val="24"/>
        </w:rPr>
        <w:t>и общественно полезных проектов</w:t>
      </w:r>
    </w:p>
    <w:p w:rsidR="00E63AEA" w:rsidRPr="00D07B28" w:rsidRDefault="009B4F6B" w:rsidP="009B4F6B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Форма </w:t>
      </w:r>
    </w:p>
    <w:p w:rsidR="00E63AEA" w:rsidRPr="00D07B28" w:rsidRDefault="00E63AEA" w:rsidP="00E63A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Техническо</w:t>
      </w:r>
      <w:r w:rsidR="00AF60EA" w:rsidRPr="00D07B2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задани</w:t>
      </w:r>
      <w:r w:rsidR="00AF60EA" w:rsidRPr="00D07B28">
        <w:rPr>
          <w:rFonts w:ascii="Times New Roman" w:hAnsi="Times New Roman"/>
          <w:b/>
          <w:color w:val="000000" w:themeColor="text1"/>
          <w:sz w:val="28"/>
          <w:szCs w:val="28"/>
        </w:rPr>
        <w:t>е по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проведени</w:t>
      </w:r>
      <w:r w:rsidR="00AF60EA" w:rsidRPr="00D07B28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мониторинга и оценки </w:t>
      </w:r>
      <w:r w:rsidR="00C97837"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общественно</w:t>
      </w:r>
      <w:r w:rsidR="00B73132" w:rsidRPr="00D07B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b/>
          <w:color w:val="000000" w:themeColor="text1"/>
          <w:sz w:val="28"/>
          <w:szCs w:val="28"/>
        </w:rPr>
        <w:t>полезного проекта</w:t>
      </w:r>
    </w:p>
    <w:p w:rsidR="00462B8C" w:rsidRPr="00D07B28" w:rsidRDefault="00462B8C" w:rsidP="00E63A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3176"/>
        <w:gridCol w:w="1959"/>
        <w:gridCol w:w="1241"/>
        <w:gridCol w:w="1473"/>
        <w:gridCol w:w="1517"/>
      </w:tblGrid>
      <w:tr w:rsidR="00D07B28" w:rsidRPr="00D07B28" w:rsidTr="004F3129">
        <w:trPr>
          <w:trHeight w:val="255"/>
        </w:trPr>
        <w:tc>
          <w:tcPr>
            <w:tcW w:w="9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3AEA" w:rsidRPr="00D07B28" w:rsidRDefault="00E63AEA" w:rsidP="00AF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D07B28" w:rsidRPr="00D07B28" w:rsidTr="00462B8C">
        <w:trPr>
          <w:trHeight w:val="2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государственного заказчика</w:t>
            </w:r>
          </w:p>
        </w:tc>
      </w:tr>
      <w:tr w:rsidR="00D07B28" w:rsidRPr="00D07B28" w:rsidTr="0006321D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Объект мониторинга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AEA" w:rsidRPr="00D07B28" w:rsidRDefault="00E63AEA" w:rsidP="00C978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организации, реализующей общественно</w:t>
            </w:r>
            <w:r w:rsidR="00B73132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полезный проект. Контактные данные и краткое описание объекта</w:t>
            </w:r>
            <w:r w:rsidR="00AF60EA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указанием основны</w:t>
            </w:r>
            <w:r w:rsidR="00025DB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AF60EA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технических параметров: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количество персонала, среднегодовое количество получателей услуг, площадь помещения и т.п.</w:t>
            </w:r>
          </w:p>
        </w:tc>
      </w:tr>
      <w:tr w:rsidR="00D07B28" w:rsidRPr="00D07B28" w:rsidTr="0006321D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Номер и дата приказа государственного заказчика о проведении мониторинга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</w:tr>
      <w:tr w:rsidR="00D07B28" w:rsidRPr="00D07B28" w:rsidTr="00462B8C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06321D" w:rsidP="00AF60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 рабочей группы</w:t>
            </w:r>
            <w:r w:rsidR="00AF60EA"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проведению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мониторинг</w:t>
            </w:r>
            <w:r w:rsidR="00AF60EA"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оценк</w:t>
            </w:r>
            <w:r w:rsidR="00AF60EA" w:rsidRPr="00D07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AEA" w:rsidRPr="00D07B28" w:rsidRDefault="00E63AEA" w:rsidP="00C978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62B8C">
        <w:trPr>
          <w:trHeight w:val="5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Период проведения мониторинга 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C97837" w:rsidP="00C978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63AEA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аты (день/месяц/год) начала и окончания мониторинга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</w:tr>
      <w:tr w:rsidR="00D07B28" w:rsidRPr="00D07B28" w:rsidTr="00462B8C">
        <w:trPr>
          <w:trHeight w:val="5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Ф.И.О. и должность руководителя рабочей группы по проведению мониторинга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</w:tr>
      <w:tr w:rsidR="00D07B28" w:rsidRPr="00D07B28" w:rsidTr="00462B8C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Цель мониторинга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62B8C">
        <w:trPr>
          <w:trHeight w:val="315"/>
        </w:trPr>
        <w:tc>
          <w:tcPr>
            <w:tcW w:w="3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Задачи мониторинга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 Задача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 исполнители (члены рабочей группы)</w:t>
            </w:r>
          </w:p>
        </w:tc>
      </w:tr>
      <w:tr w:rsidR="00D07B28" w:rsidRPr="00D07B28" w:rsidTr="00462B8C">
        <w:trPr>
          <w:trHeight w:val="315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07B28" w:rsidRPr="00D07B28" w:rsidTr="00462B8C">
        <w:trPr>
          <w:trHeight w:val="315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62B8C">
        <w:trPr>
          <w:trHeight w:val="315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F3129">
        <w:trPr>
          <w:trHeight w:val="255"/>
        </w:trPr>
        <w:tc>
          <w:tcPr>
            <w:tcW w:w="9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3AEA" w:rsidRPr="00D07B28" w:rsidRDefault="00E63AEA" w:rsidP="00D07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Детали задания</w:t>
            </w: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Этапы мониторинга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завершения этапа</w:t>
            </w: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896E24">
        <w:trPr>
          <w:trHeight w:val="269"/>
        </w:trPr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4" w:rsidRPr="00D07B28" w:rsidRDefault="00896E24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4" w:rsidRPr="00D07B28" w:rsidRDefault="00896E24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4" w:rsidRPr="00D07B28" w:rsidRDefault="00896E24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Анкеты для опроса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Перечислить анкеты, указав для каждой наименование, группу респондентов и примерное количество респондентов исходя из списочной численности сотрудников объекта мониторинга и 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оценки и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среднегодового количества получателей 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социальных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услуг</w:t>
            </w: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Индикаторы для мониторинга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5A53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Перечислить показатели эффективности 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общественно полезного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  <w:r w:rsidR="009031AD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измер</w:t>
            </w:r>
            <w:r w:rsidR="009031AD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ению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степен</w:t>
            </w:r>
            <w:r w:rsidR="0094166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достижения целей и задач 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общественно полезного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</w:tc>
      </w:tr>
      <w:tr w:rsidR="00D07B28" w:rsidRPr="00D07B28" w:rsidTr="00896E24">
        <w:trPr>
          <w:trHeight w:val="255"/>
        </w:trPr>
        <w:tc>
          <w:tcPr>
            <w:tcW w:w="3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AEA" w:rsidRPr="00D07B28" w:rsidRDefault="00E63AEA" w:rsidP="00C978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Перечислить стандарты (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указанием их реквизитов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утвержденные для социальных услуг, оказываемых объектом мониторинга</w:t>
            </w:r>
            <w:r w:rsidR="00C9783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</w:tr>
      <w:tr w:rsidR="00D07B28" w:rsidRPr="00D07B28" w:rsidTr="004F3129">
        <w:trPr>
          <w:trHeight w:val="25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3AEA" w:rsidRPr="00D07B28" w:rsidRDefault="00E63AEA" w:rsidP="0090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D07B28" w:rsidRPr="00D07B28" w:rsidTr="00462B8C">
        <w:trPr>
          <w:trHeight w:val="3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7" w:rsidRPr="00D07B28" w:rsidRDefault="00E63AEA" w:rsidP="00903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Плановы</w:t>
            </w:r>
            <w:r w:rsidR="009031AD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/ внеплановы</w:t>
            </w:r>
            <w:r w:rsidR="009031AD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мониторинг</w:t>
            </w:r>
            <w:r w:rsidR="00C9783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оценка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Да/Нет</w:t>
            </w:r>
          </w:p>
        </w:tc>
      </w:tr>
      <w:tr w:rsidR="00D07B28" w:rsidRPr="00D07B28" w:rsidTr="00462B8C">
        <w:trPr>
          <w:trHeight w:val="75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9031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предыдущ</w:t>
            </w:r>
            <w:r w:rsidR="00D07B28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его </w:t>
            </w: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мониторинга</w:t>
            </w:r>
            <w:r w:rsidR="00450A1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EA" w:rsidRPr="00D07B28" w:rsidRDefault="00E63AEA" w:rsidP="00D07B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результатов предыдущ</w:t>
            </w:r>
            <w:r w:rsidR="00D07B28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его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мониторинга</w:t>
            </w:r>
            <w:r w:rsidR="00450A1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  <w:r w:rsidR="00AB21E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(т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олько тех, которые необходимо учесть при проведении мониторинга</w:t>
            </w:r>
            <w:r w:rsidR="00450A1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  <w:r w:rsidR="00D07B28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D07B28" w:rsidRPr="00D07B28" w:rsidTr="00462B8C">
        <w:trPr>
          <w:trHeight w:val="75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 жалобах</w:t>
            </w:r>
            <w:r w:rsidR="004351D2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/предложениях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AEA" w:rsidRPr="00D07B28" w:rsidRDefault="00E63AEA" w:rsidP="00450A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предложений и жалоб получателей услуг, полученных до начала проведения</w:t>
            </w:r>
            <w:r w:rsidR="004351D2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мониторинга</w:t>
            </w:r>
            <w:r w:rsidR="004351D2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</w:p>
        </w:tc>
      </w:tr>
      <w:tr w:rsidR="00D07B28" w:rsidRPr="00D07B28" w:rsidTr="00462B8C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AB21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Привлечен</w:t>
            </w:r>
            <w:r w:rsidR="00AB21E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ные внешние</w:t>
            </w:r>
            <w:r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специалист</w:t>
            </w:r>
            <w:r w:rsidR="00AB21E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Перечислить внешних специалистов, привлеченных для проведения мониторинга</w:t>
            </w:r>
            <w:r w:rsidR="00450A1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оценки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(Ф.И.О. и наименование организаций, которые они представляют)</w:t>
            </w:r>
          </w:p>
        </w:tc>
      </w:tr>
      <w:tr w:rsidR="00D07B28" w:rsidRPr="00D07B28" w:rsidTr="00462B8C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F3129">
        <w:trPr>
          <w:trHeight w:val="25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Одобрение плана</w:t>
            </w:r>
          </w:p>
        </w:tc>
      </w:tr>
      <w:tr w:rsidR="00D07B28" w:rsidRPr="00D07B28" w:rsidTr="00462B8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Дата, инициалы и подпись</w:t>
            </w:r>
          </w:p>
        </w:tc>
      </w:tr>
      <w:tr w:rsidR="00D07B28" w:rsidRPr="00D07B28" w:rsidTr="00462B8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План мониторинга </w:t>
            </w:r>
            <w:r w:rsidR="00450A17"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оценки </w:t>
            </w: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одобрен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07B28" w:rsidRPr="00D07B28" w:rsidTr="00462B8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Подготовил(а):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07B28" w:rsidRPr="00D07B28" w:rsidTr="00462B8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Проверил(а):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AEA" w:rsidRPr="00D07B28" w:rsidRDefault="00E63AEA" w:rsidP="00E63A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63AEA" w:rsidRPr="00D07B28" w:rsidRDefault="00E63AEA" w:rsidP="00E63AE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AEA" w:rsidRPr="00D07B28" w:rsidRDefault="00E63AEA" w:rsidP="00E63AE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33E2" w:rsidRPr="00D07B28" w:rsidRDefault="00A033E2" w:rsidP="00E63AE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33E2" w:rsidRPr="00D07B28" w:rsidRDefault="00A033E2" w:rsidP="00E63AE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7B28" w:rsidRDefault="00D07B28" w:rsidP="00522E5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2E5A" w:rsidRPr="00D07B28" w:rsidRDefault="00522E5A" w:rsidP="00522E5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0A17" w:rsidRPr="00D07B28" w:rsidRDefault="00E63AEA" w:rsidP="00E7499A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E63AEA" w:rsidRPr="00D07B28" w:rsidRDefault="00E63AEA" w:rsidP="00E7499A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к По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2B"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мониторинга и оценки реализации общественно</w:t>
      </w:r>
      <w:r w:rsidR="00B73132"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полезных проектов</w:t>
      </w:r>
    </w:p>
    <w:p w:rsidR="00E63AEA" w:rsidRPr="00D07B28" w:rsidRDefault="00D07B28" w:rsidP="00E63AEA">
      <w:pPr>
        <w:spacing w:after="0" w:line="240" w:lineRule="auto"/>
        <w:ind w:right="113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Форма</w:t>
      </w: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 </w:t>
      </w:r>
    </w:p>
    <w:p w:rsidR="00E63AEA" w:rsidRPr="00D07B28" w:rsidRDefault="00E63AEA" w:rsidP="0046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(наименование государственного заказчика)</w:t>
      </w:r>
    </w:p>
    <w:p w:rsidR="00E63AEA" w:rsidRPr="00152FCD" w:rsidRDefault="00E63AEA" w:rsidP="00910048">
      <w:pPr>
        <w:spacing w:after="0" w:line="240" w:lineRule="auto"/>
        <w:ind w:right="1134"/>
        <w:jc w:val="both"/>
        <w:rPr>
          <w:rFonts w:ascii="Times New Roman" w:hAnsi="Times New Roman"/>
          <w:b/>
          <w:bCs/>
          <w:color w:val="000000" w:themeColor="text1"/>
          <w:sz w:val="16"/>
          <w:szCs w:val="28"/>
          <w:lang w:eastAsia="ru-RU"/>
        </w:rPr>
      </w:pPr>
    </w:p>
    <w:p w:rsidR="00E7499A" w:rsidRPr="00D07B28" w:rsidRDefault="00E63AEA" w:rsidP="00910048">
      <w:pPr>
        <w:spacing w:after="0" w:line="240" w:lineRule="auto"/>
        <w:ind w:right="113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E7499A"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тчет</w:t>
      </w:r>
    </w:p>
    <w:p w:rsidR="00E63AEA" w:rsidRPr="00D07B28" w:rsidRDefault="00E63AEA" w:rsidP="00910048">
      <w:pPr>
        <w:spacing w:after="0" w:line="240" w:lineRule="auto"/>
        <w:ind w:right="113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мониторинга и оценки реализации </w:t>
      </w:r>
      <w:bookmarkStart w:id="1" w:name="_Hlk488144279"/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общественно</w:t>
      </w:r>
      <w:r w:rsidR="00B73132"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полезного </w:t>
      </w:r>
      <w:bookmarkEnd w:id="1"/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проекта</w:t>
      </w:r>
    </w:p>
    <w:p w:rsidR="00E63AEA" w:rsidRPr="00D07B28" w:rsidRDefault="00E7499A" w:rsidP="00E7499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E7499A" w:rsidRPr="00D07B28" w:rsidRDefault="00E7499A" w:rsidP="00E7499A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07B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(наименование)</w:t>
      </w: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«______» _____________ 20 ___ г.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______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</w:t>
      </w:r>
    </w:p>
    <w:p w:rsidR="00E63AEA" w:rsidRPr="00D07B28" w:rsidRDefault="00462B8C" w:rsidP="0091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033E2"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63AEA" w:rsidRPr="00D07B28">
        <w:rPr>
          <w:rFonts w:ascii="Times New Roman" w:hAnsi="Times New Roman"/>
          <w:color w:val="000000" w:themeColor="text1"/>
          <w:sz w:val="24"/>
          <w:szCs w:val="24"/>
        </w:rPr>
        <w:t>(населенный пункт)</w:t>
      </w:r>
    </w:p>
    <w:p w:rsidR="00E63AEA" w:rsidRPr="00D07B28" w:rsidRDefault="004351D2" w:rsidP="00A033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Рабоч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групп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522E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образованной в соответствии с 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приказом государственного заказчика от «______» ___________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 20 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года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№ ___</w:t>
      </w:r>
      <w:r w:rsidR="00E63AE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составе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63AEA" w:rsidRPr="00D07B28" w:rsidRDefault="00E63AEA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3AEA" w:rsidRPr="00D07B28" w:rsidRDefault="00E63AEA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E63AEA" w:rsidRPr="00D07B28" w:rsidRDefault="00E63AEA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3AEA" w:rsidRPr="00D07B28" w:rsidRDefault="00E63AEA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E63AEA" w:rsidRPr="00D07B28" w:rsidRDefault="00E63AEA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 </w:t>
      </w:r>
    </w:p>
    <w:p w:rsidR="00E63AEA" w:rsidRPr="00D07B28" w:rsidRDefault="00E63AEA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4351D2" w:rsidRPr="00D07B28" w:rsidRDefault="004351D2" w:rsidP="00E7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4351D2" w:rsidRPr="00D07B28" w:rsidRDefault="004351D2" w:rsidP="00E74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4"/>
          <w:szCs w:val="24"/>
        </w:rPr>
        <w:t>(Ф.И.О., место работы, должность)</w:t>
      </w:r>
    </w:p>
    <w:p w:rsidR="00E63AEA" w:rsidRPr="00152FCD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28"/>
          <w:lang w:eastAsia="ru-RU"/>
        </w:rPr>
      </w:pP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«____» _____________ 20 ___ г. по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«______» ______________ 20 ______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г. </w:t>
      </w: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дены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мониторинг и оценк</w:t>
      </w:r>
      <w:r w:rsidR="00E7499A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общественно</w:t>
      </w:r>
      <w:r w:rsidR="00B73132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полезного проекта_________________________________________________________,</w:t>
      </w:r>
    </w:p>
    <w:p w:rsidR="00E63AEA" w:rsidRPr="00D07B28" w:rsidRDefault="00E63AEA" w:rsidP="00910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66C" w:rsidRPr="00D07B28">
        <w:rPr>
          <w:rFonts w:ascii="Times New Roman" w:hAnsi="Times New Roman"/>
          <w:color w:val="000000" w:themeColor="text1"/>
          <w:sz w:val="24"/>
          <w:szCs w:val="24"/>
        </w:rPr>
        <w:t>наименование общественно</w:t>
      </w:r>
      <w:r w:rsidR="00FE19A7" w:rsidRPr="00D07B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полезного</w:t>
      </w:r>
      <w:r w:rsidR="00450A17"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>проекта)</w:t>
      </w:r>
    </w:p>
    <w:p w:rsidR="00896E24" w:rsidRPr="00D07B28" w:rsidRDefault="00896E24" w:rsidP="00910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реализуемого в рамках государственного социального заказа __________</w:t>
      </w:r>
    </w:p>
    <w:p w:rsidR="00E63AEA" w:rsidRPr="00D07B28" w:rsidRDefault="00E63AEA" w:rsidP="00910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152F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</w:p>
    <w:p w:rsidR="00E63AEA" w:rsidRPr="00D07B28" w:rsidRDefault="00E63AEA" w:rsidP="00910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организации, реализующей </w:t>
      </w:r>
      <w:r w:rsidR="00450A17" w:rsidRPr="00D07B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общественно полезный</w:t>
      </w:r>
      <w:r w:rsidR="00450A17" w:rsidRPr="00D07B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4"/>
          <w:szCs w:val="24"/>
        </w:rPr>
        <w:t>проект)</w:t>
      </w:r>
    </w:p>
    <w:p w:rsidR="00E63AEA" w:rsidRPr="00D07B28" w:rsidRDefault="00E63AEA" w:rsidP="00E63A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678"/>
      </w:tblGrid>
      <w:tr w:rsidR="00D07B28" w:rsidRPr="00D07B28" w:rsidTr="004F3129">
        <w:tc>
          <w:tcPr>
            <w:tcW w:w="2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EA" w:rsidRPr="00D07B28" w:rsidRDefault="00E63AEA" w:rsidP="00450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Местонахождение организации, реализующей </w:t>
            </w:r>
            <w:r w:rsidR="00450A1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общественно полезный </w:t>
            </w: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2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EA" w:rsidRPr="00D07B28" w:rsidRDefault="00E63AEA" w:rsidP="009B6F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Представитель организации, реализующей </w:t>
            </w:r>
            <w:r w:rsidR="00450A17" w:rsidRPr="00D07B2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общественно полезный</w:t>
            </w:r>
            <w:r w:rsidR="00450A17"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проект </w:t>
            </w:r>
          </w:p>
          <w:p w:rsidR="00E63AEA" w:rsidRPr="00D07B28" w:rsidRDefault="00E63AEA" w:rsidP="00462B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(Ф.И.О., место работы, должность, номер телефона, адрес электронной почты)</w:t>
            </w:r>
          </w:p>
        </w:tc>
      </w:tr>
      <w:tr w:rsidR="00D07B28" w:rsidRPr="00D07B28" w:rsidTr="004F3129">
        <w:tc>
          <w:tcPr>
            <w:tcW w:w="2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EA" w:rsidRPr="00D07B28" w:rsidRDefault="00E63AEA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EA" w:rsidRPr="00D07B28" w:rsidRDefault="00E63AEA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07B2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07B28" w:rsidRPr="00D07B28" w:rsidTr="004F3129">
        <w:tc>
          <w:tcPr>
            <w:tcW w:w="2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48" w:rsidRPr="00D07B28" w:rsidRDefault="00910048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48" w:rsidRPr="00D07B28" w:rsidRDefault="00910048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7B28" w:rsidRPr="00D07B28" w:rsidTr="004F3129">
        <w:tc>
          <w:tcPr>
            <w:tcW w:w="2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48" w:rsidRPr="00D07B28" w:rsidRDefault="00910048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48" w:rsidRPr="00D07B28" w:rsidRDefault="00910048" w:rsidP="009B6F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62B8C" w:rsidRPr="00D07B28" w:rsidRDefault="00462B8C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В целях мониторинга и оценки 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реализации общественно полезного проекта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рассмотрены следующие </w:t>
      </w:r>
      <w:r w:rsidR="0094166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вопросы: 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</w:t>
      </w:r>
      <w:r w:rsidR="00D07B28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  <w:r w:rsidR="00D07B28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Результаты оценки эффективности (продуктивности и результативности) 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общественно полезного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проекта по индикаторам, отобранным для мониторинга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оценки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______________________________</w:t>
      </w:r>
      <w:r w:rsidR="009416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3) Результаты оценки соответствия утвержденным стандартам 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социальных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 или требованиям государственного заказчика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 отсутствии утвержденных стандартов)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</w:t>
      </w:r>
      <w:r w:rsidR="00462B8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3) Результаты оценки удовлетворенности получателей 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социальных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 их качеством и доступностью: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="009416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  <w:r w:rsidR="00D07B28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5) Выявленные нарушения и проблемы (включая жалобы </w:t>
      </w:r>
      <w:r w:rsidR="004351D2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предложения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респондентов</w:t>
      </w:r>
      <w:r w:rsidR="0094166C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): 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  <w:r w:rsidR="00D07B28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6) Нарушения, устраненные в ходе мониторинга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оценки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7) Предложения респондентов по повышению своевременности и качества социальных услуг: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:rsidR="006965D0" w:rsidRPr="00D07B28" w:rsidRDefault="006965D0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8) Заключение по итогам мониторинга и оценки 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общественно полезного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проекта: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</w:t>
      </w:r>
      <w:r w:rsidR="009416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</w:p>
    <w:p w:rsidR="00E63AEA" w:rsidRPr="00D07B28" w:rsidRDefault="009B6FB6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9) Рекомендации:</w:t>
      </w:r>
      <w:r w:rsidR="009B6FB6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E63AEA" w:rsidRPr="00D07B28" w:rsidRDefault="00E63AEA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6965D0" w:rsidRPr="00D07B28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D07B2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</w:p>
    <w:p w:rsidR="00E63AEA" w:rsidRPr="00D07B28" w:rsidRDefault="00E63AEA" w:rsidP="00462B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</w:t>
      </w:r>
      <w:r w:rsidR="00450A17"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10048" w:rsidRPr="00D07B28" w:rsidRDefault="00910048" w:rsidP="00462B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910048" w:rsidRPr="00D07B28" w:rsidRDefault="00E63AEA" w:rsidP="006965D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7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</w:t>
      </w:r>
    </w:p>
    <w:sectPr w:rsidR="00910048" w:rsidRPr="00D07B28" w:rsidSect="004611BB">
      <w:footerReference w:type="default" r:id="rId8"/>
      <w:pgSz w:w="11906" w:h="16838"/>
      <w:pgMar w:top="1134" w:right="1134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64" w:rsidRDefault="005B6764" w:rsidP="00253360">
      <w:pPr>
        <w:spacing w:after="0" w:line="240" w:lineRule="auto"/>
      </w:pPr>
      <w:r>
        <w:separator/>
      </w:r>
    </w:p>
  </w:endnote>
  <w:endnote w:type="continuationSeparator" w:id="0">
    <w:p w:rsidR="005B6764" w:rsidRDefault="005B6764" w:rsidP="0025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487"/>
      <w:docPartObj>
        <w:docPartGallery w:val="Page Numbers (Bottom of Page)"/>
        <w:docPartUnique/>
      </w:docPartObj>
    </w:sdtPr>
    <w:sdtEndPr/>
    <w:sdtContent>
      <w:p w:rsidR="004611BB" w:rsidRDefault="00D86EE2">
        <w:pPr>
          <w:pStyle w:val="ae"/>
          <w:jc w:val="right"/>
        </w:pPr>
        <w:r w:rsidRPr="004611BB">
          <w:rPr>
            <w:rFonts w:ascii="Times New Roman" w:hAnsi="Times New Roman"/>
            <w:sz w:val="24"/>
            <w:szCs w:val="24"/>
          </w:rPr>
          <w:fldChar w:fldCharType="begin"/>
        </w:r>
        <w:r w:rsidR="004611BB" w:rsidRPr="004611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11BB">
          <w:rPr>
            <w:rFonts w:ascii="Times New Roman" w:hAnsi="Times New Roman"/>
            <w:sz w:val="24"/>
            <w:szCs w:val="24"/>
          </w:rPr>
          <w:fldChar w:fldCharType="separate"/>
        </w:r>
        <w:r w:rsidR="00447A66">
          <w:rPr>
            <w:rFonts w:ascii="Times New Roman" w:hAnsi="Times New Roman"/>
            <w:noProof/>
            <w:sz w:val="24"/>
            <w:szCs w:val="24"/>
          </w:rPr>
          <w:t>2</w:t>
        </w:r>
        <w:r w:rsidRPr="004611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44092" w:rsidRPr="007E7AD4" w:rsidRDefault="00744092" w:rsidP="005A0D89">
    <w:pPr>
      <w:pStyle w:val="ae"/>
      <w:spacing w:after="0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64" w:rsidRDefault="005B6764" w:rsidP="00253360">
      <w:pPr>
        <w:spacing w:after="0" w:line="240" w:lineRule="auto"/>
      </w:pPr>
      <w:r>
        <w:separator/>
      </w:r>
    </w:p>
  </w:footnote>
  <w:footnote w:type="continuationSeparator" w:id="0">
    <w:p w:rsidR="005B6764" w:rsidRDefault="005B6764" w:rsidP="0025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96F"/>
    <w:multiLevelType w:val="hybridMultilevel"/>
    <w:tmpl w:val="BA527D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3F67C5"/>
    <w:multiLevelType w:val="hybridMultilevel"/>
    <w:tmpl w:val="586A3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A55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145A8F"/>
    <w:multiLevelType w:val="hybridMultilevel"/>
    <w:tmpl w:val="796C961C"/>
    <w:lvl w:ilvl="0" w:tplc="7A14B7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16D2BAD"/>
    <w:multiLevelType w:val="multilevel"/>
    <w:tmpl w:val="AA3E7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116F76D2"/>
    <w:multiLevelType w:val="hybridMultilevel"/>
    <w:tmpl w:val="2A78A1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3B6B0A"/>
    <w:multiLevelType w:val="hybridMultilevel"/>
    <w:tmpl w:val="525AD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664E9B"/>
    <w:multiLevelType w:val="multilevel"/>
    <w:tmpl w:val="944491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5116AE5"/>
    <w:multiLevelType w:val="hybridMultilevel"/>
    <w:tmpl w:val="8356E3BC"/>
    <w:lvl w:ilvl="0" w:tplc="4B5454B4">
      <w:start w:val="10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D7AC7"/>
    <w:multiLevelType w:val="hybridMultilevel"/>
    <w:tmpl w:val="D390F2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B814989"/>
    <w:multiLevelType w:val="multilevel"/>
    <w:tmpl w:val="944491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1BEF61C5"/>
    <w:multiLevelType w:val="hybridMultilevel"/>
    <w:tmpl w:val="2ED64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CD7F46"/>
    <w:multiLevelType w:val="hybridMultilevel"/>
    <w:tmpl w:val="FF4E16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8655242"/>
    <w:multiLevelType w:val="hybridMultilevel"/>
    <w:tmpl w:val="D3C24964"/>
    <w:lvl w:ilvl="0" w:tplc="3656EAE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88D6401"/>
    <w:multiLevelType w:val="hybridMultilevel"/>
    <w:tmpl w:val="69BA65DC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0B0565"/>
    <w:multiLevelType w:val="hybridMultilevel"/>
    <w:tmpl w:val="4CCE0E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5D218B"/>
    <w:multiLevelType w:val="hybridMultilevel"/>
    <w:tmpl w:val="12A833EC"/>
    <w:lvl w:ilvl="0" w:tplc="57B2B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CB659B4"/>
    <w:multiLevelType w:val="hybridMultilevel"/>
    <w:tmpl w:val="227E8E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DC1623D"/>
    <w:multiLevelType w:val="multilevel"/>
    <w:tmpl w:val="0D4C7B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416F0E11"/>
    <w:multiLevelType w:val="hybridMultilevel"/>
    <w:tmpl w:val="EC1ED1DE"/>
    <w:lvl w:ilvl="0" w:tplc="C97044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26F4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9A7582E"/>
    <w:multiLevelType w:val="multilevel"/>
    <w:tmpl w:val="944491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4B6A64FC"/>
    <w:multiLevelType w:val="multilevel"/>
    <w:tmpl w:val="A3B873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F7E589E"/>
    <w:multiLevelType w:val="hybridMultilevel"/>
    <w:tmpl w:val="BBAC273A"/>
    <w:lvl w:ilvl="0" w:tplc="4E7C43E2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33B4423"/>
    <w:multiLevelType w:val="hybridMultilevel"/>
    <w:tmpl w:val="789218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4BC6DB9"/>
    <w:multiLevelType w:val="hybridMultilevel"/>
    <w:tmpl w:val="6900B674"/>
    <w:lvl w:ilvl="0" w:tplc="F4586C1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76637A3"/>
    <w:multiLevelType w:val="hybridMultilevel"/>
    <w:tmpl w:val="405C92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153880"/>
    <w:multiLevelType w:val="multilevel"/>
    <w:tmpl w:val="7368FB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58729E5"/>
    <w:multiLevelType w:val="hybridMultilevel"/>
    <w:tmpl w:val="6900B674"/>
    <w:lvl w:ilvl="0" w:tplc="F4586C1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E366C01"/>
    <w:multiLevelType w:val="hybridMultilevel"/>
    <w:tmpl w:val="3D123188"/>
    <w:lvl w:ilvl="0" w:tplc="57B2B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601F98">
      <w:start w:val="4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AB052E"/>
    <w:multiLevelType w:val="hybridMultilevel"/>
    <w:tmpl w:val="CCB2526E"/>
    <w:lvl w:ilvl="0" w:tplc="3C3069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6"/>
  </w:num>
  <w:num w:numId="4">
    <w:abstractNumId w:val="2"/>
  </w:num>
  <w:num w:numId="5">
    <w:abstractNumId w:val="27"/>
  </w:num>
  <w:num w:numId="6">
    <w:abstractNumId w:val="18"/>
  </w:num>
  <w:num w:numId="7">
    <w:abstractNumId w:val="17"/>
  </w:num>
  <w:num w:numId="8">
    <w:abstractNumId w:val="23"/>
  </w:num>
  <w:num w:numId="9">
    <w:abstractNumId w:val="30"/>
  </w:num>
  <w:num w:numId="10">
    <w:abstractNumId w:val="20"/>
  </w:num>
  <w:num w:numId="11">
    <w:abstractNumId w:val="4"/>
  </w:num>
  <w:num w:numId="12">
    <w:abstractNumId w:val="10"/>
  </w:num>
  <w:num w:numId="13">
    <w:abstractNumId w:val="26"/>
  </w:num>
  <w:num w:numId="14">
    <w:abstractNumId w:val="9"/>
  </w:num>
  <w:num w:numId="15">
    <w:abstractNumId w:val="22"/>
  </w:num>
  <w:num w:numId="16">
    <w:abstractNumId w:val="15"/>
  </w:num>
  <w:num w:numId="17">
    <w:abstractNumId w:val="0"/>
  </w:num>
  <w:num w:numId="18">
    <w:abstractNumId w:val="16"/>
  </w:num>
  <w:num w:numId="19">
    <w:abstractNumId w:val="29"/>
  </w:num>
  <w:num w:numId="20">
    <w:abstractNumId w:val="24"/>
  </w:num>
  <w:num w:numId="21">
    <w:abstractNumId w:val="1"/>
  </w:num>
  <w:num w:numId="22">
    <w:abstractNumId w:val="5"/>
  </w:num>
  <w:num w:numId="23">
    <w:abstractNumId w:val="7"/>
  </w:num>
  <w:num w:numId="24">
    <w:abstractNumId w:val="21"/>
  </w:num>
  <w:num w:numId="25">
    <w:abstractNumId w:val="12"/>
  </w:num>
  <w:num w:numId="26">
    <w:abstractNumId w:val="3"/>
  </w:num>
  <w:num w:numId="27">
    <w:abstractNumId w:val="14"/>
  </w:num>
  <w:num w:numId="28">
    <w:abstractNumId w:val="13"/>
  </w:num>
  <w:num w:numId="29">
    <w:abstractNumId w:val="28"/>
  </w:num>
  <w:num w:numId="30">
    <w:abstractNumId w:val="25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0"/>
    <w:rsid w:val="00003794"/>
    <w:rsid w:val="00006456"/>
    <w:rsid w:val="00006672"/>
    <w:rsid w:val="00006C0F"/>
    <w:rsid w:val="00025DB7"/>
    <w:rsid w:val="00027F7B"/>
    <w:rsid w:val="00030D60"/>
    <w:rsid w:val="000451D8"/>
    <w:rsid w:val="000466A6"/>
    <w:rsid w:val="00060602"/>
    <w:rsid w:val="0006321D"/>
    <w:rsid w:val="00091726"/>
    <w:rsid w:val="000B21AC"/>
    <w:rsid w:val="000B655A"/>
    <w:rsid w:val="000C4459"/>
    <w:rsid w:val="000D076E"/>
    <w:rsid w:val="000D2D03"/>
    <w:rsid w:val="000D5CF6"/>
    <w:rsid w:val="000F7E98"/>
    <w:rsid w:val="00123553"/>
    <w:rsid w:val="00125211"/>
    <w:rsid w:val="00127308"/>
    <w:rsid w:val="00152111"/>
    <w:rsid w:val="00152FCD"/>
    <w:rsid w:val="00170F1F"/>
    <w:rsid w:val="001778AD"/>
    <w:rsid w:val="001918AA"/>
    <w:rsid w:val="001950E0"/>
    <w:rsid w:val="001A7963"/>
    <w:rsid w:val="001C7180"/>
    <w:rsid w:val="001E7B1C"/>
    <w:rsid w:val="001F76A6"/>
    <w:rsid w:val="00202EB4"/>
    <w:rsid w:val="0020635F"/>
    <w:rsid w:val="002101AB"/>
    <w:rsid w:val="00234B4C"/>
    <w:rsid w:val="002443FD"/>
    <w:rsid w:val="00253360"/>
    <w:rsid w:val="00256C21"/>
    <w:rsid w:val="00266BBD"/>
    <w:rsid w:val="00273B85"/>
    <w:rsid w:val="00295DAA"/>
    <w:rsid w:val="002B0AE4"/>
    <w:rsid w:val="002C09E1"/>
    <w:rsid w:val="002E2051"/>
    <w:rsid w:val="002E5CF1"/>
    <w:rsid w:val="002E78A8"/>
    <w:rsid w:val="002F4279"/>
    <w:rsid w:val="003247FC"/>
    <w:rsid w:val="003672AB"/>
    <w:rsid w:val="00380922"/>
    <w:rsid w:val="003A58C2"/>
    <w:rsid w:val="003B7171"/>
    <w:rsid w:val="003C3678"/>
    <w:rsid w:val="003C3E61"/>
    <w:rsid w:val="003C5C2B"/>
    <w:rsid w:val="003D2639"/>
    <w:rsid w:val="003E368B"/>
    <w:rsid w:val="003E72B0"/>
    <w:rsid w:val="003F0277"/>
    <w:rsid w:val="003F19F2"/>
    <w:rsid w:val="00422734"/>
    <w:rsid w:val="004278FF"/>
    <w:rsid w:val="004351D2"/>
    <w:rsid w:val="004437FB"/>
    <w:rsid w:val="0044442B"/>
    <w:rsid w:val="00447A66"/>
    <w:rsid w:val="00450A17"/>
    <w:rsid w:val="00452450"/>
    <w:rsid w:val="00453F10"/>
    <w:rsid w:val="004540DA"/>
    <w:rsid w:val="004611BB"/>
    <w:rsid w:val="004619C7"/>
    <w:rsid w:val="00462B8C"/>
    <w:rsid w:val="004639C7"/>
    <w:rsid w:val="00464568"/>
    <w:rsid w:val="0048395C"/>
    <w:rsid w:val="00490410"/>
    <w:rsid w:val="0049516F"/>
    <w:rsid w:val="004A57BF"/>
    <w:rsid w:val="004B175C"/>
    <w:rsid w:val="004B2882"/>
    <w:rsid w:val="004C4550"/>
    <w:rsid w:val="004D386A"/>
    <w:rsid w:val="004E3C41"/>
    <w:rsid w:val="004F2604"/>
    <w:rsid w:val="004F3129"/>
    <w:rsid w:val="004F322A"/>
    <w:rsid w:val="00506338"/>
    <w:rsid w:val="005174C0"/>
    <w:rsid w:val="00522E5A"/>
    <w:rsid w:val="0052382F"/>
    <w:rsid w:val="0053631A"/>
    <w:rsid w:val="00552F24"/>
    <w:rsid w:val="0055460A"/>
    <w:rsid w:val="0056628F"/>
    <w:rsid w:val="00585010"/>
    <w:rsid w:val="00586592"/>
    <w:rsid w:val="00592BB5"/>
    <w:rsid w:val="00596D0F"/>
    <w:rsid w:val="0059713A"/>
    <w:rsid w:val="005A0D89"/>
    <w:rsid w:val="005A532B"/>
    <w:rsid w:val="005B6764"/>
    <w:rsid w:val="005B7FEC"/>
    <w:rsid w:val="005C59E8"/>
    <w:rsid w:val="005D3350"/>
    <w:rsid w:val="005E031F"/>
    <w:rsid w:val="005E77B5"/>
    <w:rsid w:val="00600CCB"/>
    <w:rsid w:val="006136AD"/>
    <w:rsid w:val="006530C5"/>
    <w:rsid w:val="00657B9A"/>
    <w:rsid w:val="00667DE3"/>
    <w:rsid w:val="00683C8C"/>
    <w:rsid w:val="006964A8"/>
    <w:rsid w:val="006965D0"/>
    <w:rsid w:val="006A361A"/>
    <w:rsid w:val="006B179E"/>
    <w:rsid w:val="006B25CD"/>
    <w:rsid w:val="006C6111"/>
    <w:rsid w:val="006D266B"/>
    <w:rsid w:val="006D2CB9"/>
    <w:rsid w:val="006D3C75"/>
    <w:rsid w:val="006D455A"/>
    <w:rsid w:val="006D73F3"/>
    <w:rsid w:val="006E7EA7"/>
    <w:rsid w:val="006F34AC"/>
    <w:rsid w:val="0070146B"/>
    <w:rsid w:val="007067EE"/>
    <w:rsid w:val="00715A93"/>
    <w:rsid w:val="00730EE7"/>
    <w:rsid w:val="00744092"/>
    <w:rsid w:val="00746847"/>
    <w:rsid w:val="0075716C"/>
    <w:rsid w:val="00764244"/>
    <w:rsid w:val="00772051"/>
    <w:rsid w:val="00773D64"/>
    <w:rsid w:val="00774E93"/>
    <w:rsid w:val="00780B06"/>
    <w:rsid w:val="00781739"/>
    <w:rsid w:val="00781983"/>
    <w:rsid w:val="007A04D7"/>
    <w:rsid w:val="007A0F44"/>
    <w:rsid w:val="007B3D09"/>
    <w:rsid w:val="007D3FE0"/>
    <w:rsid w:val="007D5C09"/>
    <w:rsid w:val="007E1B99"/>
    <w:rsid w:val="007E5EFD"/>
    <w:rsid w:val="007E75A3"/>
    <w:rsid w:val="007E7AD4"/>
    <w:rsid w:val="0080309E"/>
    <w:rsid w:val="0080361F"/>
    <w:rsid w:val="00807226"/>
    <w:rsid w:val="00807C5E"/>
    <w:rsid w:val="008151A9"/>
    <w:rsid w:val="008240F0"/>
    <w:rsid w:val="00840140"/>
    <w:rsid w:val="00842695"/>
    <w:rsid w:val="008629CC"/>
    <w:rsid w:val="00863590"/>
    <w:rsid w:val="00871C7B"/>
    <w:rsid w:val="00876840"/>
    <w:rsid w:val="00895CE8"/>
    <w:rsid w:val="00896E24"/>
    <w:rsid w:val="008A2540"/>
    <w:rsid w:val="008C410A"/>
    <w:rsid w:val="008D1EB2"/>
    <w:rsid w:val="008F0375"/>
    <w:rsid w:val="009031AD"/>
    <w:rsid w:val="00910048"/>
    <w:rsid w:val="00911BB5"/>
    <w:rsid w:val="00920960"/>
    <w:rsid w:val="00920BEC"/>
    <w:rsid w:val="00923531"/>
    <w:rsid w:val="00924A17"/>
    <w:rsid w:val="00924B50"/>
    <w:rsid w:val="0092789E"/>
    <w:rsid w:val="0094166C"/>
    <w:rsid w:val="00950D23"/>
    <w:rsid w:val="00973E0C"/>
    <w:rsid w:val="00984316"/>
    <w:rsid w:val="00993614"/>
    <w:rsid w:val="009A79DF"/>
    <w:rsid w:val="009B4F6B"/>
    <w:rsid w:val="009B6FB6"/>
    <w:rsid w:val="009B7234"/>
    <w:rsid w:val="009C1BCE"/>
    <w:rsid w:val="009E54CA"/>
    <w:rsid w:val="00A033E2"/>
    <w:rsid w:val="00A04178"/>
    <w:rsid w:val="00A417D7"/>
    <w:rsid w:val="00A5767B"/>
    <w:rsid w:val="00A7097D"/>
    <w:rsid w:val="00A71942"/>
    <w:rsid w:val="00A77634"/>
    <w:rsid w:val="00A871CA"/>
    <w:rsid w:val="00A9454B"/>
    <w:rsid w:val="00AB0168"/>
    <w:rsid w:val="00AB21E8"/>
    <w:rsid w:val="00AB45FA"/>
    <w:rsid w:val="00AB59E8"/>
    <w:rsid w:val="00AC62F9"/>
    <w:rsid w:val="00AD6053"/>
    <w:rsid w:val="00AF404F"/>
    <w:rsid w:val="00AF60EA"/>
    <w:rsid w:val="00B00461"/>
    <w:rsid w:val="00B02487"/>
    <w:rsid w:val="00B1392F"/>
    <w:rsid w:val="00B17A2D"/>
    <w:rsid w:val="00B47403"/>
    <w:rsid w:val="00B52D95"/>
    <w:rsid w:val="00B56196"/>
    <w:rsid w:val="00B64E4C"/>
    <w:rsid w:val="00B71562"/>
    <w:rsid w:val="00B73132"/>
    <w:rsid w:val="00B757A5"/>
    <w:rsid w:val="00BA21B6"/>
    <w:rsid w:val="00BA2BD9"/>
    <w:rsid w:val="00BA336A"/>
    <w:rsid w:val="00BA654F"/>
    <w:rsid w:val="00BB14D6"/>
    <w:rsid w:val="00BB6512"/>
    <w:rsid w:val="00BD046C"/>
    <w:rsid w:val="00BD39D4"/>
    <w:rsid w:val="00BD664A"/>
    <w:rsid w:val="00BE535D"/>
    <w:rsid w:val="00C00695"/>
    <w:rsid w:val="00C12AC2"/>
    <w:rsid w:val="00C12BCD"/>
    <w:rsid w:val="00C23ACC"/>
    <w:rsid w:val="00C375FB"/>
    <w:rsid w:val="00C432BD"/>
    <w:rsid w:val="00C66F1F"/>
    <w:rsid w:val="00C74324"/>
    <w:rsid w:val="00C7478E"/>
    <w:rsid w:val="00C75E16"/>
    <w:rsid w:val="00C856C6"/>
    <w:rsid w:val="00C97837"/>
    <w:rsid w:val="00CA27CB"/>
    <w:rsid w:val="00CC7292"/>
    <w:rsid w:val="00CE48A8"/>
    <w:rsid w:val="00CE6930"/>
    <w:rsid w:val="00D07B28"/>
    <w:rsid w:val="00D151A4"/>
    <w:rsid w:val="00D23BAF"/>
    <w:rsid w:val="00D24688"/>
    <w:rsid w:val="00D3679D"/>
    <w:rsid w:val="00D52ADE"/>
    <w:rsid w:val="00D82B85"/>
    <w:rsid w:val="00D86EE2"/>
    <w:rsid w:val="00D93A24"/>
    <w:rsid w:val="00DB1829"/>
    <w:rsid w:val="00DC440A"/>
    <w:rsid w:val="00DE197E"/>
    <w:rsid w:val="00DF0908"/>
    <w:rsid w:val="00DF0DB9"/>
    <w:rsid w:val="00E206C9"/>
    <w:rsid w:val="00E4294E"/>
    <w:rsid w:val="00E471AB"/>
    <w:rsid w:val="00E5034F"/>
    <w:rsid w:val="00E56DFD"/>
    <w:rsid w:val="00E634BC"/>
    <w:rsid w:val="00E63AEA"/>
    <w:rsid w:val="00E67F6B"/>
    <w:rsid w:val="00E73450"/>
    <w:rsid w:val="00E7499A"/>
    <w:rsid w:val="00EA0251"/>
    <w:rsid w:val="00EB0DDE"/>
    <w:rsid w:val="00EB31FD"/>
    <w:rsid w:val="00EB36C3"/>
    <w:rsid w:val="00EB3A28"/>
    <w:rsid w:val="00EB43C7"/>
    <w:rsid w:val="00EC4EF7"/>
    <w:rsid w:val="00EC5A40"/>
    <w:rsid w:val="00ED2659"/>
    <w:rsid w:val="00ED68DB"/>
    <w:rsid w:val="00EE2307"/>
    <w:rsid w:val="00EF7B34"/>
    <w:rsid w:val="00F060D7"/>
    <w:rsid w:val="00F2202F"/>
    <w:rsid w:val="00F24964"/>
    <w:rsid w:val="00F260BF"/>
    <w:rsid w:val="00F26EEA"/>
    <w:rsid w:val="00F41D1B"/>
    <w:rsid w:val="00F65FF4"/>
    <w:rsid w:val="00F7140A"/>
    <w:rsid w:val="00F728E4"/>
    <w:rsid w:val="00FA269F"/>
    <w:rsid w:val="00FC286D"/>
    <w:rsid w:val="00FC5771"/>
    <w:rsid w:val="00FC7DCC"/>
    <w:rsid w:val="00FD10AF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62B5D7-543E-4BC3-B369-E525FF6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840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8768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76840"/>
    <w:rPr>
      <w:rFonts w:eastAsia="Times New Roman" w:cs="Times New Roman"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6840"/>
    <w:rPr>
      <w:rFonts w:ascii="Tahoma" w:hAnsi="Tahoma" w:cs="Times New Roman"/>
      <w:sz w:val="16"/>
      <w:lang w:val="x-none" w:eastAsia="ru-RU"/>
    </w:rPr>
  </w:style>
  <w:style w:type="paragraph" w:customStyle="1" w:styleId="tkTekst">
    <w:name w:val="_Текст обычный (tkTekst)"/>
    <w:basedOn w:val="a"/>
    <w:rsid w:val="00807C5E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645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533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253360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unhideWhenUsed/>
    <w:rsid w:val="00253360"/>
    <w:rPr>
      <w:rFonts w:cs="Times New Roman"/>
      <w:vertAlign w:val="superscript"/>
    </w:rPr>
  </w:style>
  <w:style w:type="paragraph" w:customStyle="1" w:styleId="tkZagolovok2">
    <w:name w:val="_Заголовок Раздел (tkZagolovok2)"/>
    <w:basedOn w:val="a"/>
    <w:rsid w:val="005174C0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kGrif">
    <w:name w:val="_Гриф (tkGrif)"/>
    <w:basedOn w:val="a"/>
    <w:rsid w:val="000466A6"/>
    <w:pPr>
      <w:spacing w:after="6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466A6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0466A6"/>
    <w:pPr>
      <w:spacing w:after="60"/>
    </w:pPr>
    <w:rPr>
      <w:rFonts w:ascii="Arial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27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A27CB"/>
    <w:rPr>
      <w:rFonts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CA27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27CB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838F-CAFC-4E41-889C-164DF85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</dc:creator>
  <cp:lastModifiedBy>meiman</cp:lastModifiedBy>
  <cp:revision>2</cp:revision>
  <cp:lastPrinted>2017-11-09T05:31:00Z</cp:lastPrinted>
  <dcterms:created xsi:type="dcterms:W3CDTF">2017-12-21T13:15:00Z</dcterms:created>
  <dcterms:modified xsi:type="dcterms:W3CDTF">2017-12-21T13:15:00Z</dcterms:modified>
</cp:coreProperties>
</file>