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5BD5" w14:textId="77777777" w:rsidR="007F06F5" w:rsidRDefault="007F06F5" w:rsidP="007F06F5">
      <w:pPr>
        <w:pStyle w:val="a6"/>
        <w:spacing w:before="360"/>
        <w:jc w:val="right"/>
        <w:rPr>
          <w:b/>
          <w:sz w:val="22"/>
          <w:szCs w:val="22"/>
        </w:rPr>
      </w:pPr>
      <w:r w:rsidRPr="00D534E7">
        <w:rPr>
          <w:b/>
          <w:bCs/>
          <w:sz w:val="22"/>
          <w:szCs w:val="22"/>
        </w:rPr>
        <w:t>Приложение № 1</w:t>
      </w:r>
    </w:p>
    <w:p w14:paraId="375BD2B8" w14:textId="77777777" w:rsidR="007F06F5" w:rsidRPr="00BB0132" w:rsidRDefault="007F06F5" w:rsidP="007F06F5">
      <w:pPr>
        <w:pStyle w:val="a6"/>
        <w:spacing w:before="360"/>
        <w:jc w:val="center"/>
        <w:rPr>
          <w:b/>
          <w:sz w:val="22"/>
          <w:szCs w:val="22"/>
        </w:rPr>
      </w:pPr>
      <w:r w:rsidRPr="00BB0132">
        <w:rPr>
          <w:b/>
          <w:sz w:val="22"/>
          <w:szCs w:val="22"/>
        </w:rPr>
        <w:t xml:space="preserve">Техническое задание на оказание консультационных услуг по организационному развитию партнеров </w:t>
      </w:r>
      <w:r w:rsidRPr="00BB0132">
        <w:rPr>
          <w:b/>
          <w:noProof/>
          <w:sz w:val="22"/>
          <w:szCs w:val="22"/>
        </w:rPr>
        <w:t>Коалции «За местное самоуправление Кыргызской Респбулики» (Институт политики развития, Союз местных самоуправлений, Академия местного управления Центральной Азии»</w:t>
      </w:r>
    </w:p>
    <w:p w14:paraId="58AFBC9A" w14:textId="77777777" w:rsidR="007F06F5" w:rsidRPr="00BB0132" w:rsidRDefault="007F06F5" w:rsidP="007F06F5">
      <w:pPr>
        <w:pStyle w:val="a6"/>
        <w:pBdr>
          <w:bottom w:val="single" w:sz="4" w:space="1" w:color="auto"/>
        </w:pBdr>
        <w:rPr>
          <w:b/>
          <w:sz w:val="22"/>
          <w:szCs w:val="22"/>
        </w:rPr>
      </w:pPr>
    </w:p>
    <w:p w14:paraId="68E33F07" w14:textId="77777777" w:rsidR="007F06F5" w:rsidRPr="00BB0132" w:rsidRDefault="007F06F5" w:rsidP="007F06F5">
      <w:pPr>
        <w:pStyle w:val="a6"/>
        <w:rPr>
          <w:b/>
          <w:bCs/>
          <w:sz w:val="22"/>
          <w:szCs w:val="22"/>
        </w:rPr>
      </w:pPr>
      <w:r w:rsidRPr="00BB0132">
        <w:rPr>
          <w:b/>
          <w:bCs/>
          <w:sz w:val="22"/>
          <w:szCs w:val="22"/>
        </w:rPr>
        <w:t>Сокращения и условные обозначения</w:t>
      </w:r>
    </w:p>
    <w:p w14:paraId="70F5DCA3" w14:textId="77777777" w:rsidR="007F06F5" w:rsidRPr="00BB0132" w:rsidRDefault="007F06F5" w:rsidP="007F06F5">
      <w:pPr>
        <w:pStyle w:val="a6"/>
        <w:ind w:left="1701" w:hanging="1701"/>
        <w:rPr>
          <w:sz w:val="22"/>
          <w:szCs w:val="22"/>
        </w:rPr>
      </w:pPr>
    </w:p>
    <w:p w14:paraId="231E450A" w14:textId="77777777" w:rsidR="007F06F5" w:rsidRPr="00BB0132" w:rsidRDefault="007F06F5" w:rsidP="007F06F5">
      <w:pPr>
        <w:pStyle w:val="a6"/>
        <w:ind w:left="1701" w:hanging="1701"/>
        <w:rPr>
          <w:sz w:val="22"/>
          <w:szCs w:val="22"/>
        </w:rPr>
      </w:pPr>
      <w:r w:rsidRPr="00BB0132">
        <w:rPr>
          <w:sz w:val="22"/>
          <w:szCs w:val="22"/>
        </w:rPr>
        <w:t xml:space="preserve">ИПР – </w:t>
      </w:r>
      <w:r w:rsidRPr="00BB0132">
        <w:rPr>
          <w:sz w:val="22"/>
          <w:szCs w:val="22"/>
        </w:rPr>
        <w:tab/>
        <w:t>Общественное объединение «Институт политики развития».</w:t>
      </w:r>
    </w:p>
    <w:p w14:paraId="5B4B52CB" w14:textId="77777777" w:rsidR="007F06F5" w:rsidRPr="00BB0132" w:rsidRDefault="007F06F5" w:rsidP="007F06F5">
      <w:pPr>
        <w:pStyle w:val="a6"/>
        <w:ind w:left="1701" w:hanging="1701"/>
        <w:rPr>
          <w:sz w:val="22"/>
          <w:szCs w:val="22"/>
        </w:rPr>
      </w:pPr>
      <w:r w:rsidRPr="00BB0132">
        <w:rPr>
          <w:sz w:val="22"/>
          <w:szCs w:val="22"/>
        </w:rPr>
        <w:t xml:space="preserve">ПЛП – </w:t>
      </w:r>
      <w:r w:rsidRPr="00BB0132">
        <w:rPr>
          <w:sz w:val="22"/>
          <w:szCs w:val="22"/>
        </w:rPr>
        <w:tab/>
        <w:t>Портал лучшей практики.</w:t>
      </w:r>
    </w:p>
    <w:p w14:paraId="73B41E7E" w14:textId="77777777" w:rsidR="007F06F5" w:rsidRPr="00BB0132" w:rsidRDefault="007F06F5" w:rsidP="007F06F5">
      <w:pPr>
        <w:pStyle w:val="a6"/>
        <w:ind w:left="1701" w:hanging="1701"/>
        <w:rPr>
          <w:sz w:val="22"/>
          <w:szCs w:val="22"/>
        </w:rPr>
      </w:pPr>
      <w:r w:rsidRPr="00BB0132">
        <w:rPr>
          <w:sz w:val="22"/>
          <w:szCs w:val="22"/>
        </w:rPr>
        <w:t xml:space="preserve">Союз МСУ – </w:t>
      </w:r>
      <w:r w:rsidRPr="00BB0132">
        <w:rPr>
          <w:sz w:val="22"/>
          <w:szCs w:val="22"/>
        </w:rPr>
        <w:tab/>
        <w:t>Объединение юридических лиц «Союз местных самоуправлений Кыргызской Республики».</w:t>
      </w:r>
    </w:p>
    <w:p w14:paraId="6002C56D" w14:textId="77777777" w:rsidR="007F06F5" w:rsidRPr="00BB0132" w:rsidRDefault="007F06F5" w:rsidP="007F06F5">
      <w:pPr>
        <w:pStyle w:val="a6"/>
        <w:ind w:left="1701" w:hanging="1701"/>
        <w:rPr>
          <w:sz w:val="22"/>
          <w:szCs w:val="22"/>
        </w:rPr>
      </w:pPr>
      <w:r w:rsidRPr="00BB0132">
        <w:rPr>
          <w:sz w:val="22"/>
          <w:szCs w:val="22"/>
        </w:rPr>
        <w:t xml:space="preserve">АМУЦА – </w:t>
      </w:r>
      <w:r w:rsidRPr="00BB0132">
        <w:rPr>
          <w:sz w:val="22"/>
          <w:szCs w:val="22"/>
        </w:rPr>
        <w:tab/>
        <w:t>Академия местного управления Центральной Азии.</w:t>
      </w:r>
    </w:p>
    <w:p w14:paraId="655CD7F6" w14:textId="77777777" w:rsidR="007F06F5" w:rsidRPr="00BB0132" w:rsidRDefault="007F06F5" w:rsidP="007F06F5">
      <w:pPr>
        <w:pStyle w:val="a6"/>
        <w:ind w:left="1701" w:hanging="1701"/>
        <w:rPr>
          <w:sz w:val="22"/>
          <w:szCs w:val="22"/>
        </w:rPr>
      </w:pPr>
      <w:r w:rsidRPr="00BB0132">
        <w:rPr>
          <w:sz w:val="22"/>
          <w:szCs w:val="22"/>
        </w:rPr>
        <w:t>МГУ</w:t>
      </w:r>
      <w:proofErr w:type="gramStart"/>
      <w:r w:rsidRPr="00BB0132">
        <w:rPr>
          <w:sz w:val="22"/>
          <w:szCs w:val="22"/>
        </w:rPr>
        <w:t xml:space="preserve">–  </w:t>
      </w:r>
      <w:r>
        <w:rPr>
          <w:sz w:val="22"/>
          <w:szCs w:val="22"/>
        </w:rPr>
        <w:tab/>
      </w:r>
      <w:proofErr w:type="gramEnd"/>
      <w:r w:rsidRPr="00BB0132">
        <w:rPr>
          <w:sz w:val="22"/>
          <w:szCs w:val="22"/>
        </w:rPr>
        <w:t>местное самоуправление.</w:t>
      </w:r>
    </w:p>
    <w:p w14:paraId="35D5F1C1" w14:textId="77777777" w:rsidR="007F06F5" w:rsidRPr="00BB0132" w:rsidRDefault="007F06F5" w:rsidP="007F06F5">
      <w:pPr>
        <w:pStyle w:val="a6"/>
        <w:ind w:left="1701" w:hanging="1701"/>
        <w:rPr>
          <w:sz w:val="22"/>
          <w:szCs w:val="22"/>
        </w:rPr>
      </w:pPr>
      <w:r w:rsidRPr="00BB0132">
        <w:rPr>
          <w:sz w:val="22"/>
          <w:szCs w:val="22"/>
        </w:rPr>
        <w:t xml:space="preserve">SDС – </w:t>
      </w:r>
      <w:r w:rsidRPr="00BB0132">
        <w:rPr>
          <w:sz w:val="22"/>
          <w:szCs w:val="22"/>
        </w:rPr>
        <w:tab/>
        <w:t>Швейцарское управление по международному развитию.</w:t>
      </w:r>
    </w:p>
    <w:p w14:paraId="6BA8367A" w14:textId="77777777" w:rsidR="007F06F5" w:rsidRPr="00BB0132" w:rsidRDefault="007F06F5" w:rsidP="007F06F5">
      <w:pPr>
        <w:pStyle w:val="a6"/>
        <w:ind w:left="1701" w:hanging="1701"/>
        <w:rPr>
          <w:sz w:val="22"/>
          <w:szCs w:val="22"/>
        </w:rPr>
      </w:pPr>
      <w:r w:rsidRPr="00BB0132">
        <w:rPr>
          <w:sz w:val="22"/>
          <w:szCs w:val="22"/>
        </w:rPr>
        <w:t xml:space="preserve">КР – </w:t>
      </w:r>
      <w:r w:rsidRPr="00BB0132">
        <w:rPr>
          <w:sz w:val="22"/>
          <w:szCs w:val="22"/>
        </w:rPr>
        <w:tab/>
        <w:t>Кыргызская Республика.</w:t>
      </w:r>
    </w:p>
    <w:p w14:paraId="2F3EDD75" w14:textId="77777777" w:rsidR="007F06F5" w:rsidRPr="00BB0132" w:rsidRDefault="007F06F5" w:rsidP="007F06F5">
      <w:pPr>
        <w:pStyle w:val="a6"/>
        <w:ind w:left="1701" w:hanging="1701"/>
        <w:rPr>
          <w:sz w:val="22"/>
          <w:szCs w:val="22"/>
        </w:rPr>
      </w:pPr>
      <w:r w:rsidRPr="00BB0132">
        <w:rPr>
          <w:sz w:val="22"/>
          <w:szCs w:val="22"/>
        </w:rPr>
        <w:t xml:space="preserve">Коалиция – </w:t>
      </w:r>
      <w:r w:rsidRPr="00BB0132">
        <w:rPr>
          <w:sz w:val="22"/>
          <w:szCs w:val="22"/>
        </w:rPr>
        <w:tab/>
        <w:t>Коалиция «За местное самоуправление», созданная ИПР, Союзом МСУ и АМУЦА.</w:t>
      </w:r>
    </w:p>
    <w:p w14:paraId="19C2A427" w14:textId="77777777" w:rsidR="007F06F5" w:rsidRPr="005A5C54" w:rsidRDefault="007F06F5" w:rsidP="007F06F5">
      <w:pPr>
        <w:pStyle w:val="a6"/>
        <w:rPr>
          <w:rFonts w:ascii="Arial" w:hAnsi="Arial" w:cs="Arial"/>
          <w:szCs w:val="22"/>
        </w:rPr>
      </w:pPr>
    </w:p>
    <w:p w14:paraId="5B202D0E" w14:textId="77777777" w:rsidR="007F06F5" w:rsidRPr="00BB0132" w:rsidRDefault="007F06F5" w:rsidP="007F06F5">
      <w:pPr>
        <w:pStyle w:val="a4"/>
        <w:keepNext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bCs/>
          <w:lang w:val="en-US"/>
        </w:rPr>
      </w:pPr>
      <w:r w:rsidRPr="00BB0132">
        <w:rPr>
          <w:rFonts w:ascii="Times New Roman" w:hAnsi="Times New Roman" w:cs="Times New Roman"/>
          <w:b/>
          <w:bCs/>
        </w:rPr>
        <w:t>Описание организаций</w:t>
      </w:r>
    </w:p>
    <w:p w14:paraId="7C6D5776" w14:textId="77777777" w:rsidR="007F06F5" w:rsidRPr="00BB0132" w:rsidRDefault="007F06F5" w:rsidP="007F06F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hAnsi="Times New Roman" w:cs="Times New Roman"/>
          <w:b/>
        </w:rPr>
      </w:pPr>
      <w:r w:rsidRPr="00BB0132">
        <w:rPr>
          <w:rFonts w:ascii="Times New Roman" w:hAnsi="Times New Roman" w:cs="Times New Roman"/>
          <w:b/>
        </w:rPr>
        <w:t xml:space="preserve">Коалиция негосударственных </w:t>
      </w:r>
      <w:proofErr w:type="spellStart"/>
      <w:r w:rsidRPr="00BB0132">
        <w:rPr>
          <w:rFonts w:ascii="Times New Roman" w:hAnsi="Times New Roman" w:cs="Times New Roman"/>
          <w:b/>
        </w:rPr>
        <w:t>акторов</w:t>
      </w:r>
      <w:proofErr w:type="spellEnd"/>
    </w:p>
    <w:p w14:paraId="09C140DB" w14:textId="77777777" w:rsidR="007F06F5" w:rsidRPr="00BB0132" w:rsidRDefault="007F06F5" w:rsidP="007F0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BB0132">
        <w:rPr>
          <w:rFonts w:ascii="Times New Roman" w:hAnsi="Times New Roman" w:cs="Times New Roman"/>
        </w:rPr>
        <w:t>Коалиция по развитию местного самоуправления (Коалиция) была инициирована Институтом политики развития (ИПР) (неформально, в 2017 году), ведущей местной неправительственной организацией (НПО) в области местного самоуправления, к которой присоединился Союз местных самоуправлений (Союз МСУ), представляющий 484 муниципалитета, а совсем недавно (в 2022 году) - Академия местного самоуправления (АМУЦА). Эти три организации являются основными негосударственными субъектами в области местного управления, которые действуют как единая сила и дополняют друг друга.</w:t>
      </w:r>
    </w:p>
    <w:p w14:paraId="55E1D61E" w14:textId="77777777" w:rsidR="007F06F5" w:rsidRPr="00BB0132" w:rsidRDefault="007F06F5" w:rsidP="007F0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BB0132">
        <w:rPr>
          <w:rFonts w:ascii="Times New Roman" w:hAnsi="Times New Roman" w:cs="Times New Roman"/>
        </w:rPr>
        <w:t>Каждая из трех организаций признает большой интерес со стороны органов местного самоуправления, центрального правительства и заинтересованных сторон местного сообщества, готовых изучить возможности долгосрочного сотрудничества. С 2023 по 2026 годы Коалиция получает финансовую поддержку от SDС, направленную на финансирование реализации Программы Коалиции по поддержке развития МСУ в КР. Данная поддержка также предусматривает организационное развитие каждого члена Коалиции, для чего проводится данная оценка.</w:t>
      </w:r>
    </w:p>
    <w:p w14:paraId="53E01E74" w14:textId="77777777" w:rsidR="007F06F5" w:rsidRPr="00BB0132" w:rsidRDefault="007F06F5" w:rsidP="007F0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BB0132">
        <w:rPr>
          <w:rFonts w:ascii="Times New Roman" w:hAnsi="Times New Roman" w:cs="Times New Roman"/>
        </w:rPr>
        <w:t xml:space="preserve">При осуществлении деятельности в рамках Программы Коалиции каждый член Коалиции будет в основном использовать существующую организационную структуру, стратегические рамки, компоненты руководства и оперативного управления, которые нуждаются в развитии и совершенствовании. </w:t>
      </w:r>
    </w:p>
    <w:p w14:paraId="57FD3503" w14:textId="77777777" w:rsidR="007F06F5" w:rsidRPr="00BB0132" w:rsidRDefault="007F06F5" w:rsidP="007F0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BB0132">
        <w:rPr>
          <w:rFonts w:ascii="Times New Roman" w:hAnsi="Times New Roman" w:cs="Times New Roman"/>
        </w:rPr>
        <w:t xml:space="preserve">ИПР обеспечит управленческую и оперативную структуру для управления поддержкой </w:t>
      </w:r>
      <w:r w:rsidRPr="00BB0132">
        <w:rPr>
          <w:rFonts w:ascii="Times New Roman" w:hAnsi="Times New Roman" w:cs="Times New Roman"/>
          <w:lang w:val="en-US"/>
        </w:rPr>
        <w:t>SDC</w:t>
      </w:r>
      <w:r w:rsidRPr="00BB0132">
        <w:rPr>
          <w:rFonts w:ascii="Times New Roman" w:hAnsi="Times New Roman" w:cs="Times New Roman"/>
        </w:rPr>
        <w:t xml:space="preserve">. В дополнение к использованию ключевых ролей и функций в рамках организационной структуры ИПР, ИПР наймет международного консультанта для дальнейшей поддержки каждого члена Коалиции по мере необходимости в организационном развитии. </w:t>
      </w:r>
    </w:p>
    <w:p w14:paraId="27E78B02" w14:textId="77777777" w:rsidR="007F06F5" w:rsidRPr="00BB0132" w:rsidRDefault="007F06F5" w:rsidP="007F0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BB0132">
        <w:rPr>
          <w:rFonts w:ascii="Times New Roman" w:hAnsi="Times New Roman" w:cs="Times New Roman"/>
        </w:rPr>
        <w:t xml:space="preserve">ИПР окажет содействие Союзу МСУ и АМУЦА в создании инфраструктуры реализации проектов и мероприятий, необходимой в рамках соглашения о партнерстве, подписанного тремя организациями. При этом ИПР будет опираться на предыдущие результаты сотрудничества, поскольку уже предоставляет грантовое финансирование Союзу МСУ и АМУЦА в рамках финансируемого USAID проекта «Успешный аймак 2», где ИПР является ведущим партнером-исполнителем.  Также в рамках данного проекта ИПР выполнил план собственного </w:t>
      </w:r>
      <w:r w:rsidRPr="00BB0132">
        <w:rPr>
          <w:rFonts w:ascii="Times New Roman" w:hAnsi="Times New Roman" w:cs="Times New Roman"/>
        </w:rPr>
        <w:lastRenderedPageBreak/>
        <w:t xml:space="preserve">организационного развития (все выявленные рекомендации по бухгалтерскому, управленческому и операционному учету были учтены), однако усовершенствования продолжаются, в частности в сфере исполнения роли административного лидера Коалиции. </w:t>
      </w:r>
    </w:p>
    <w:p w14:paraId="78CC9A2C" w14:textId="77777777" w:rsidR="007F06F5" w:rsidRPr="005A5C54" w:rsidRDefault="007F06F5" w:rsidP="007F0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</w:p>
    <w:p w14:paraId="5C439101" w14:textId="77777777" w:rsidR="007F06F5" w:rsidRPr="00BB0132" w:rsidRDefault="007F06F5" w:rsidP="007F06F5">
      <w:pPr>
        <w:keepNext/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BB0132">
        <w:rPr>
          <w:rFonts w:ascii="Times New Roman" w:hAnsi="Times New Roman" w:cs="Times New Roman"/>
          <w:b/>
          <w:i/>
        </w:rPr>
        <w:t>Институт политики развития</w:t>
      </w:r>
    </w:p>
    <w:p w14:paraId="271EB97E" w14:textId="77777777" w:rsidR="007F06F5" w:rsidRPr="005A5C54" w:rsidRDefault="007F06F5" w:rsidP="007F0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BB0132">
        <w:rPr>
          <w:rFonts w:ascii="Times New Roman" w:hAnsi="Times New Roman" w:cs="Times New Roman"/>
        </w:rPr>
        <w:t>ИПР является флагманской организацией местного развития, миссия которой по-прежнему стратегически ориентирована на повестку дня в области развития МСУ, от надежного исполнителя инициатив в области местного самоуправления до способной экспертной и аналитической организации. Созданная в 2009 году, компания ИПР выиграла открытый тендер на реализацию проекта VAP в 2011 году. За 11 лет осуществления проекта ИПР пережил огромный рост в таких областях организационного развития, как стратегическое развитие, подотчетность, оперативная деятельность, управление финансами и людскими ресурсами. После завершения проекта ИПР по-прежнему стратегически сосредоточен на повестке дня в области развития МСУ и будет продолжать играть различные роли, от надежного исполнителя инициатив в области местного самоуправления до компетентной экспертной и аналитической организации</w:t>
      </w:r>
      <w:r w:rsidRPr="005A5C54">
        <w:rPr>
          <w:rFonts w:ascii="Arial" w:hAnsi="Arial" w:cs="Arial"/>
        </w:rPr>
        <w:t xml:space="preserve">. </w:t>
      </w:r>
    </w:p>
    <w:p w14:paraId="60BEE05A" w14:textId="77777777" w:rsidR="007F06F5" w:rsidRPr="00BB0132" w:rsidRDefault="007F06F5" w:rsidP="007F06F5">
      <w:pPr>
        <w:spacing w:after="120"/>
        <w:jc w:val="both"/>
        <w:rPr>
          <w:rFonts w:ascii="Times New Roman" w:hAnsi="Times New Roman" w:cs="Times New Roman"/>
          <w:b/>
          <w:i/>
        </w:rPr>
      </w:pPr>
      <w:r w:rsidRPr="00BB0132">
        <w:rPr>
          <w:rFonts w:ascii="Times New Roman" w:hAnsi="Times New Roman" w:cs="Times New Roman"/>
          <w:b/>
          <w:i/>
        </w:rPr>
        <w:t>Союз местного самоуправления</w:t>
      </w:r>
    </w:p>
    <w:p w14:paraId="15B1C4C6" w14:textId="77777777" w:rsidR="007F06F5" w:rsidRPr="00BB0132" w:rsidRDefault="007F06F5" w:rsidP="007F0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hd w:val="clear" w:color="auto" w:fill="6AA84F"/>
        </w:rPr>
      </w:pPr>
      <w:r w:rsidRPr="00BB0132">
        <w:rPr>
          <w:rFonts w:ascii="Times New Roman" w:hAnsi="Times New Roman" w:cs="Times New Roman"/>
        </w:rPr>
        <w:t xml:space="preserve">Союз МСУ является легитимной ассоциацией, объединяющей все органы местного самоуправления в Кыргызстане. В его состав входят все 484 муниципалитета страны – 452 сельских и 32 городских. Основным финансовым источником деятельности Союза являются добровольные членские взносы, уплачиваемые 85% муниципалитетов страны (по итогам 2022 года), а также донорские средства, выделяемые на реализацию целевых проектов. Основные функции и полномочия Союза МСУ отражены в его уставе и направлены на защиту прав и представление интересов органов МСУ на местном и национальном уровнях. Правление состоит из представителей всех семи областей Кыргызской Республики и двух крупных городов Бишкека и Оша. В настоящее время </w:t>
      </w:r>
      <w:proofErr w:type="spellStart"/>
      <w:r w:rsidRPr="00BB0132">
        <w:rPr>
          <w:rFonts w:ascii="Times New Roman" w:hAnsi="Times New Roman" w:cs="Times New Roman"/>
        </w:rPr>
        <w:t>Сюз</w:t>
      </w:r>
      <w:proofErr w:type="spellEnd"/>
      <w:r w:rsidRPr="00BB0132">
        <w:rPr>
          <w:rFonts w:ascii="Times New Roman" w:hAnsi="Times New Roman" w:cs="Times New Roman"/>
        </w:rPr>
        <w:t xml:space="preserve"> МСУ имеет статус признанного государством представителя всех муниципалитетов и выступает в качестве надежного и конструктивного партнера государственных органов в развитии местного самоуправления в Кыргызстане.</w:t>
      </w:r>
    </w:p>
    <w:p w14:paraId="5FD69EDE" w14:textId="77777777" w:rsidR="007F06F5" w:rsidRPr="00BB0132" w:rsidRDefault="007F06F5" w:rsidP="007F0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BB0132">
        <w:rPr>
          <w:rFonts w:ascii="Times New Roman" w:hAnsi="Times New Roman" w:cs="Times New Roman"/>
        </w:rPr>
        <w:t>Созданный еще в 1996 году в результате слияния нескольких муниципальных ассоциаций, Союз МСУ был перерегистрирован в 2018 году. Его статус закреплен в национальном законодательстве - с ним необходимо консультироваться по всем правовым и политическим инициативам, которые могут оказать влияние на органы местного самоуправления. Несмотря на то, что Союз МСУ по-прежнему частично полагается на институциональное грантовое финансирование, он превратился в организацию, находящуюся на пути к самодостаточности</w:t>
      </w:r>
      <w:r w:rsidRPr="00BB0132">
        <w:rPr>
          <w:rFonts w:ascii="Times New Roman" w:hAnsi="Times New Roman" w:cs="Times New Roman"/>
          <w:color w:val="000000"/>
        </w:rPr>
        <w:t>, объединяющую информационно-пропагандистскую деятельность, потенциал, координацию, финансирование и другие ключевые функции. Он представляет собой ключевую движущую силу, которая пользуется поддержкой своих членов, в том числе за счет членских взносов, и твердо стоит на пути к развитию в качестве независимой и авторитетной заинтересованной стороны, формирующей повестку дня местного самоуправления страны.</w:t>
      </w:r>
    </w:p>
    <w:p w14:paraId="47999AAB" w14:textId="77777777" w:rsidR="007F06F5" w:rsidRPr="00BB0132" w:rsidRDefault="007F06F5" w:rsidP="007F06F5">
      <w:pPr>
        <w:spacing w:after="120"/>
        <w:jc w:val="both"/>
        <w:rPr>
          <w:rFonts w:ascii="Times New Roman" w:hAnsi="Times New Roman" w:cs="Times New Roman"/>
          <w:b/>
          <w:i/>
        </w:rPr>
      </w:pPr>
      <w:r w:rsidRPr="00BB0132">
        <w:rPr>
          <w:rFonts w:ascii="Times New Roman" w:hAnsi="Times New Roman" w:cs="Times New Roman"/>
          <w:b/>
          <w:i/>
        </w:rPr>
        <w:t>Академия местного самоуправления в Центральной Азии</w:t>
      </w:r>
    </w:p>
    <w:p w14:paraId="6ACF5ACD" w14:textId="77777777" w:rsidR="007F06F5" w:rsidRPr="00BB0132" w:rsidRDefault="007F06F5" w:rsidP="007F0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BB0132">
        <w:rPr>
          <w:rFonts w:ascii="Times New Roman" w:hAnsi="Times New Roman" w:cs="Times New Roman"/>
        </w:rPr>
        <w:t xml:space="preserve">АМУЦА была создана в 2021 году силами ИПР и Союза МСУ при содействии Государственного агентства по местному самоуправлению для удовлетворения потребностей МСУ в наращивании потенциала. </w:t>
      </w:r>
      <w:r w:rsidRPr="00BB0132">
        <w:rPr>
          <w:rFonts w:ascii="Times New Roman" w:hAnsi="Times New Roman" w:cs="Times New Roman"/>
          <w:color w:val="000000"/>
        </w:rPr>
        <w:t xml:space="preserve">АМУЦА стратегически ориентирована на развитие в качестве обладателя «отраслевых знаний» и специализированного </w:t>
      </w:r>
      <w:r w:rsidRPr="00BB0132">
        <w:rPr>
          <w:rFonts w:ascii="Times New Roman" w:hAnsi="Times New Roman" w:cs="Times New Roman"/>
        </w:rPr>
        <w:t>поставщика</w:t>
      </w:r>
      <w:r w:rsidRPr="00BB0132">
        <w:rPr>
          <w:rFonts w:ascii="Times New Roman" w:hAnsi="Times New Roman" w:cs="Times New Roman"/>
          <w:color w:val="000000"/>
        </w:rPr>
        <w:t xml:space="preserve"> интеллектуальных услуг, включая обучение государственных и муниципальных служащих. В конечном итоге АМУЦА будет служить основным инструментом для реализации проектов, наращивания потенциала</w:t>
      </w:r>
      <w:r w:rsidRPr="00BB0132">
        <w:rPr>
          <w:rFonts w:ascii="Times New Roman" w:hAnsi="Times New Roman" w:cs="Times New Roman"/>
        </w:rPr>
        <w:t xml:space="preserve"> и </w:t>
      </w:r>
      <w:r w:rsidRPr="00BB0132">
        <w:rPr>
          <w:rFonts w:ascii="Times New Roman" w:hAnsi="Times New Roman" w:cs="Times New Roman"/>
          <w:color w:val="000000"/>
        </w:rPr>
        <w:t>коммуникационной поддержки Союза МСУ и от его имени. АМУЦА имеет лицензию независимого поставщика программ обучения для органов МСУ</w:t>
      </w:r>
      <w:r w:rsidRPr="00BB0132">
        <w:rPr>
          <w:rFonts w:ascii="Times New Roman" w:hAnsi="Times New Roman" w:cs="Times New Roman"/>
        </w:rPr>
        <w:t xml:space="preserve">. </w:t>
      </w:r>
    </w:p>
    <w:p w14:paraId="2FDB4BA8" w14:textId="77777777" w:rsidR="007F06F5" w:rsidRPr="00BB0132" w:rsidRDefault="007F06F5" w:rsidP="007F06F5">
      <w:pPr>
        <w:jc w:val="both"/>
        <w:rPr>
          <w:rFonts w:ascii="Times New Roman" w:hAnsi="Times New Roman" w:cs="Times New Roman"/>
        </w:rPr>
      </w:pPr>
      <w:r w:rsidRPr="00BB0132">
        <w:rPr>
          <w:rFonts w:ascii="Times New Roman" w:hAnsi="Times New Roman" w:cs="Times New Roman"/>
        </w:rPr>
        <w:lastRenderedPageBreak/>
        <w:t xml:space="preserve">АМУЦА имеет хорошие возможности для достижения долгосрочной устойчивости благодаря своим уникальным активам Портала передового опыта (BPP), онлайн-платформы для обмена информацией (которую предстоит трансформировать в платформу для обучения), </w:t>
      </w:r>
      <w:proofErr w:type="spellStart"/>
      <w:r w:rsidRPr="00BB0132">
        <w:rPr>
          <w:rFonts w:ascii="Times New Roman" w:hAnsi="Times New Roman" w:cs="Times New Roman"/>
        </w:rPr>
        <w:t>плтворму</w:t>
      </w:r>
      <w:proofErr w:type="spellEnd"/>
      <w:r w:rsidRPr="00BB0132">
        <w:rPr>
          <w:rFonts w:ascii="Times New Roman" w:hAnsi="Times New Roman" w:cs="Times New Roman"/>
        </w:rPr>
        <w:t xml:space="preserve"> Р2Р (равный равному), Клуб женщин-депутатов, а также журнала </w:t>
      </w:r>
      <w:proofErr w:type="spellStart"/>
      <w:r w:rsidRPr="00BB0132">
        <w:rPr>
          <w:rFonts w:ascii="Times New Roman" w:hAnsi="Times New Roman" w:cs="Times New Roman"/>
        </w:rPr>
        <w:t>Municipalitet</w:t>
      </w:r>
      <w:proofErr w:type="spellEnd"/>
      <w:r w:rsidRPr="00BB0132">
        <w:rPr>
          <w:rFonts w:ascii="Times New Roman" w:hAnsi="Times New Roman" w:cs="Times New Roman"/>
        </w:rPr>
        <w:t xml:space="preserve">, единственного специализированного издания по местному самоуправлению в стране, предоставляющего обновленную информацию о событиях, связанных с местным управлением, со всей страны. При этом Журнал </w:t>
      </w:r>
      <w:proofErr w:type="spellStart"/>
      <w:r w:rsidRPr="00BB0132">
        <w:rPr>
          <w:rFonts w:ascii="Times New Roman" w:hAnsi="Times New Roman" w:cs="Times New Roman"/>
        </w:rPr>
        <w:t>Municipalitet</w:t>
      </w:r>
      <w:proofErr w:type="spellEnd"/>
      <w:r w:rsidRPr="00BB0132">
        <w:rPr>
          <w:rFonts w:ascii="Times New Roman" w:hAnsi="Times New Roman" w:cs="Times New Roman"/>
        </w:rPr>
        <w:t xml:space="preserve"> находится на пути к достижению самоокупаемости, покрывая часть своих текущих расходов за счет подписки на более чем 1,000 платных подписчиков.</w:t>
      </w:r>
    </w:p>
    <w:p w14:paraId="0AF23624" w14:textId="77777777" w:rsidR="007F06F5" w:rsidRPr="00BB0132" w:rsidRDefault="007F06F5" w:rsidP="007F06F5">
      <w:pPr>
        <w:pStyle w:val="a4"/>
        <w:keepNext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bCs/>
          <w:lang w:val="en-US"/>
        </w:rPr>
      </w:pPr>
      <w:r w:rsidRPr="00BB0132">
        <w:rPr>
          <w:rFonts w:ascii="Times New Roman" w:hAnsi="Times New Roman" w:cs="Times New Roman"/>
          <w:b/>
          <w:bCs/>
        </w:rPr>
        <w:t>Цель и объем разработки</w:t>
      </w:r>
    </w:p>
    <w:p w14:paraId="0913A8D8" w14:textId="77777777" w:rsidR="007F06F5" w:rsidRPr="00BB0132" w:rsidRDefault="007F06F5" w:rsidP="007F06F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 xml:space="preserve">Основной задачей является развитие организационного потенциала членов Коалиции с целью совершенствования их внутренней структуры, процедур и профессиональных компетенций. Выполнение задания начинается с организационной оценки, а затем развитие потенциала обеспечивается на основе рекомендаций этой оценки и </w:t>
      </w:r>
      <w:proofErr w:type="gramStart"/>
      <w:r w:rsidRPr="00BB0132">
        <w:rPr>
          <w:rFonts w:ascii="Times New Roman" w:hAnsi="Times New Roman" w:cs="Times New Roman"/>
          <w:lang w:eastAsia="ru-RU"/>
        </w:rPr>
        <w:t>выявленных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B0132">
        <w:rPr>
          <w:rFonts w:ascii="Times New Roman" w:hAnsi="Times New Roman" w:cs="Times New Roman"/>
          <w:lang w:eastAsia="ru-RU"/>
        </w:rPr>
        <w:t>потребностей</w:t>
      </w:r>
      <w:proofErr w:type="gramEnd"/>
      <w:r w:rsidRPr="00BB0132">
        <w:rPr>
          <w:rFonts w:ascii="Times New Roman" w:hAnsi="Times New Roman" w:cs="Times New Roman"/>
          <w:lang w:eastAsia="ru-RU"/>
        </w:rPr>
        <w:t xml:space="preserve"> и запросов членов Коалиции.</w:t>
      </w:r>
    </w:p>
    <w:p w14:paraId="52412EEC" w14:textId="77777777" w:rsidR="007F06F5" w:rsidRPr="00BB0132" w:rsidRDefault="007F06F5" w:rsidP="007F06F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>Общий анализ методов и процедур работы поможет установить диагноз функционирования членов Коалиции, выявить недостатки и выработать рекомендации. Комплекс рекомендаций будет направлен на рационализацию задач, функций и процессов принятия решений в целях повышения эффективности, результативности, фидуциарного управления и систем внутреннего контроля.</w:t>
      </w:r>
    </w:p>
    <w:p w14:paraId="29B20660" w14:textId="77777777" w:rsidR="007F06F5" w:rsidRPr="00D534E7" w:rsidRDefault="007F06F5" w:rsidP="007F06F5">
      <w:pPr>
        <w:keepNext/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D534E7">
        <w:rPr>
          <w:rFonts w:ascii="Times New Roman" w:hAnsi="Times New Roman" w:cs="Times New Roman"/>
          <w:b/>
          <w:i/>
        </w:rPr>
        <w:t>Институт политики развития</w:t>
      </w:r>
      <w:r w:rsidRPr="00BB0132">
        <w:rPr>
          <w:rFonts w:ascii="Times New Roman" w:hAnsi="Times New Roman" w:cs="Times New Roman"/>
          <w:b/>
          <w:i/>
        </w:rPr>
        <w:t xml:space="preserve">. </w:t>
      </w:r>
      <w:r w:rsidRPr="00BB0132">
        <w:rPr>
          <w:rFonts w:ascii="Times New Roman" w:hAnsi="Times New Roman" w:cs="Times New Roman"/>
          <w:lang w:eastAsia="ru-RU"/>
        </w:rPr>
        <w:t>За 10 лет работы ИПР приобрел управленческий опыт, хотя некоторые организационные возможности нуждаются в дальнейшем развитии. В настоящее время ИПР проводит реформу своей структуры и системы управления, включая формирование независимого наблюдательного совета. Эти реформы делают развитие организационного потенциала абсолютно актуальным и более важным. В рамках Коалиции ИПР является ведущим операционным партнером, который управляет фонами, полученными от SDС, и осуществляет трансферт поддержки Союзу МСУ и АМУЦА в рамках грантовых соглашений. Соответственно, ИПР отвечает за организацию административного и финансового взаимодействия между членами Коалиции в рамках поддержки SDC, играя роль ресурсного и администрирующего партнера. ИПР отличается самой высокой (среди членов Коалиции) степенью зависимости от донорского финансирования.</w:t>
      </w:r>
    </w:p>
    <w:p w14:paraId="2DAB6745" w14:textId="77777777" w:rsidR="007F06F5" w:rsidRPr="00D534E7" w:rsidRDefault="007F06F5" w:rsidP="007F06F5">
      <w:pPr>
        <w:keepNext/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D534E7">
        <w:rPr>
          <w:rFonts w:ascii="Times New Roman" w:hAnsi="Times New Roman" w:cs="Times New Roman"/>
          <w:b/>
          <w:i/>
        </w:rPr>
        <w:t>Союз местного самоуправления</w:t>
      </w:r>
      <w:r w:rsidRPr="00B710B3">
        <w:rPr>
          <w:rFonts w:ascii="Times New Roman" w:hAnsi="Times New Roman" w:cs="Times New Roman"/>
          <w:b/>
          <w:i/>
        </w:rPr>
        <w:t xml:space="preserve">. </w:t>
      </w:r>
      <w:r w:rsidRPr="00BB0132">
        <w:rPr>
          <w:rFonts w:ascii="Times New Roman" w:hAnsi="Times New Roman" w:cs="Times New Roman"/>
          <w:bCs/>
          <w:iCs/>
        </w:rPr>
        <w:t xml:space="preserve">Союз МСУ в течение 5 последних лет проходит существенную трансформацию, обновляя внутренние процедуры управления, восстанавливая членские связи. Союз МСУ неоднократно проходил оценку институционального развития и получал поддержку в разработке внутренних политик и процедур от партнеров по развитию, в том числе, от ИПР, однако необходимость усилий по практическому внедрению политик по повышению потенциала сотрудников остается актуальной. Союз МСУ нуждается в </w:t>
      </w:r>
      <w:proofErr w:type="gramStart"/>
      <w:r w:rsidRPr="00BB0132">
        <w:rPr>
          <w:rFonts w:ascii="Times New Roman" w:hAnsi="Times New Roman" w:cs="Times New Roman"/>
          <w:bCs/>
          <w:iCs/>
        </w:rPr>
        <w:t>оценке  институционального</w:t>
      </w:r>
      <w:proofErr w:type="gramEnd"/>
      <w:r w:rsidRPr="00BB0132">
        <w:rPr>
          <w:rFonts w:ascii="Times New Roman" w:hAnsi="Times New Roman" w:cs="Times New Roman"/>
          <w:bCs/>
          <w:iCs/>
        </w:rPr>
        <w:t xml:space="preserve"> развития, а также в определении причин, по которым рекомендации предыдущих оценок могут или не могут быть выполнены.</w:t>
      </w:r>
    </w:p>
    <w:p w14:paraId="23A5861A" w14:textId="77777777" w:rsidR="007F06F5" w:rsidRPr="00D534E7" w:rsidRDefault="007F06F5" w:rsidP="007F06F5">
      <w:pPr>
        <w:keepNext/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D534E7">
        <w:rPr>
          <w:rFonts w:ascii="Times New Roman" w:hAnsi="Times New Roman" w:cs="Times New Roman"/>
          <w:b/>
          <w:i/>
        </w:rPr>
        <w:t xml:space="preserve">Академия местного самоуправления в Центральной Азии. </w:t>
      </w:r>
      <w:r w:rsidRPr="00BB0132">
        <w:rPr>
          <w:rFonts w:ascii="Times New Roman" w:hAnsi="Times New Roman" w:cs="Times New Roman"/>
          <w:bCs/>
          <w:iCs/>
        </w:rPr>
        <w:t>АМУЦА является относительной новой организацией и находится в стадии становления (создана в 2021 году), а потому нуждается в оценке институционального развития. Отличительная особенность АМУЦА заключается в том, что единственный член Коалиции, который ориентирован на рыночные методы финансирования, платные услуги. В 2023 году АМУЦА начала предоставлять платные образовательные услуги органам МСУ, что требует особых усилий в сфере финансового управления, маркетинга, развития и обучения команды.</w:t>
      </w:r>
    </w:p>
    <w:p w14:paraId="20166A97" w14:textId="77777777" w:rsidR="007F06F5" w:rsidRPr="00BB0132" w:rsidRDefault="007F06F5" w:rsidP="007F06F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 xml:space="preserve">Исходя из целей, изложенных выше, в рамках первой части задания консультант(ы) будут решать следующие задачи: </w:t>
      </w:r>
    </w:p>
    <w:p w14:paraId="1703DFDA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 xml:space="preserve">Описать, проанализировать и оценить управление и организационную структуру Коалиции, процедуры взаимодействия между членами Коалиции, включая управление программными действиями и финансовыми вопросами; </w:t>
      </w:r>
    </w:p>
    <w:p w14:paraId="0AAF5C21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lastRenderedPageBreak/>
        <w:t>Описывать, анализировать и оценивать управленческую и организационную структуру каждого члена Коалиции, описанную в пересмотренном Уставе Организаций и всех Положениях об управлении, включая взаимоотношения между высшими, наблюдательными и исполнительными органами управления;</w:t>
      </w:r>
    </w:p>
    <w:p w14:paraId="046E1EBB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>Анализировать и оценивать систему внутреннего контроля, операционные/финансовые/административные руководства, логистику;</w:t>
      </w:r>
    </w:p>
    <w:p w14:paraId="0F9D9D04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 xml:space="preserve">Анализировать и оценивать системы финансового менеджмента, бухгалтерского учета и отчетности и управления рисками; </w:t>
      </w:r>
    </w:p>
    <w:p w14:paraId="2C9D54F5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>провести обзор политики в области людских ресурсов и оценить ее пригодность для обновления структуры;</w:t>
      </w:r>
    </w:p>
    <w:p w14:paraId="2AD0FED1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 xml:space="preserve">Обзор систем контроля за персоналом (табели учета рабочего времени, производительность); </w:t>
      </w:r>
    </w:p>
    <w:p w14:paraId="2ECC5A2A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>Анализировать и оценивать систему управления (встречи, общение, принятие решений, рабочие группы, внутренние заметки и т. д.) и анализировать функционирование созданной системы управления;</w:t>
      </w:r>
    </w:p>
    <w:p w14:paraId="70ABC69C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>Обзор административно-учетной системы учета, а также системы оперативного мониторинга.</w:t>
      </w:r>
    </w:p>
    <w:p w14:paraId="08EF4836" w14:textId="77777777" w:rsidR="007F06F5" w:rsidRPr="00BB0132" w:rsidRDefault="007F06F5" w:rsidP="007F06F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 xml:space="preserve">В соответствии со второй частью задания консультант(ы) будут решать задачи по обеспечению развития потенциала на основе рекомендаций оценки и выявленных потребностей Коалиции и каждого члена Коалиции, включая: </w:t>
      </w:r>
    </w:p>
    <w:p w14:paraId="5EB1E4B5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>Совершенствование управления и организационной структуры Коалиции, процедуры взаимодействия между членами Коалиции, включая управление программными действиями и финансовыми вопросами;</w:t>
      </w:r>
    </w:p>
    <w:p w14:paraId="699FCA38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>Совершенствование организационной структуры членов Коалиции;</w:t>
      </w:r>
    </w:p>
    <w:p w14:paraId="321DB7B6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 xml:space="preserve">Совершенствование системы оценки рисков как на уровне организаций, так и на уровне проектов (в том числе комплаенс-рисков); </w:t>
      </w:r>
    </w:p>
    <w:p w14:paraId="391D9423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 xml:space="preserve">разработка адекватной системы распределения административных расходов между различными проектами и самой Организацией; </w:t>
      </w:r>
    </w:p>
    <w:p w14:paraId="3EC8E672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lang w:val="en-US" w:eastAsia="ru-RU"/>
        </w:rPr>
      </w:pPr>
      <w:r w:rsidRPr="00BB0132">
        <w:rPr>
          <w:rFonts w:ascii="Times New Roman" w:hAnsi="Times New Roman" w:cs="Times New Roman"/>
          <w:lang w:eastAsia="ru-RU"/>
        </w:rPr>
        <w:t xml:space="preserve">совершенствование системы внутреннего контроля; </w:t>
      </w:r>
    </w:p>
    <w:p w14:paraId="3C3D7430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>Совершенствование системы контроля персонала (табели учета рабочего времени, производительность);</w:t>
      </w:r>
    </w:p>
    <w:p w14:paraId="1C9F27F0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lang w:val="en-US" w:eastAsia="ru-RU"/>
        </w:rPr>
      </w:pPr>
      <w:r w:rsidRPr="00BB0132">
        <w:rPr>
          <w:rFonts w:ascii="Times New Roman" w:hAnsi="Times New Roman" w:cs="Times New Roman"/>
          <w:lang w:eastAsia="ru-RU"/>
        </w:rPr>
        <w:t>автоматизация (цифровизация) рабочих процессов.</w:t>
      </w:r>
    </w:p>
    <w:p w14:paraId="20CBD524" w14:textId="77777777" w:rsidR="007F06F5" w:rsidRPr="00BB0132" w:rsidRDefault="007F06F5" w:rsidP="007F06F5">
      <w:pPr>
        <w:pStyle w:val="a4"/>
        <w:keepNext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bCs/>
          <w:lang w:val="en-US"/>
        </w:rPr>
      </w:pPr>
      <w:r w:rsidRPr="00BB0132">
        <w:rPr>
          <w:rFonts w:ascii="Times New Roman" w:hAnsi="Times New Roman" w:cs="Times New Roman"/>
          <w:b/>
          <w:bCs/>
        </w:rPr>
        <w:t>Ожидаемые результаты</w:t>
      </w:r>
    </w:p>
    <w:p w14:paraId="46BC8D56" w14:textId="77777777" w:rsidR="007F06F5" w:rsidRPr="00BB0132" w:rsidRDefault="007F06F5" w:rsidP="007F06F5">
      <w:pPr>
        <w:autoSpaceDE w:val="0"/>
        <w:autoSpaceDN w:val="0"/>
        <w:adjustRightInd w:val="0"/>
        <w:spacing w:before="120" w:after="120"/>
        <w:ind w:firstLine="357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 xml:space="preserve">Задача должна привести к двум следующим результатам: </w:t>
      </w:r>
    </w:p>
    <w:p w14:paraId="4A86EC1E" w14:textId="77777777" w:rsidR="007F06F5" w:rsidRPr="00BB0132" w:rsidRDefault="007F06F5" w:rsidP="007F06F5">
      <w:pPr>
        <w:autoSpaceDE w:val="0"/>
        <w:autoSpaceDN w:val="0"/>
        <w:adjustRightInd w:val="0"/>
        <w:spacing w:before="120" w:after="120"/>
        <w:ind w:firstLine="357"/>
        <w:jc w:val="both"/>
        <w:rPr>
          <w:rFonts w:ascii="Times New Roman" w:hAnsi="Times New Roman" w:cs="Times New Roman"/>
          <w:lang w:val="en-US" w:eastAsia="ru-RU"/>
        </w:rPr>
      </w:pPr>
      <w:r w:rsidRPr="00BB0132">
        <w:rPr>
          <w:rFonts w:ascii="Times New Roman" w:hAnsi="Times New Roman" w:cs="Times New Roman"/>
          <w:u w:val="single"/>
          <w:lang w:eastAsia="ru-RU"/>
        </w:rPr>
        <w:t>Предоставьте обзор организации</w:t>
      </w:r>
      <w:r w:rsidRPr="00BB0132">
        <w:rPr>
          <w:rFonts w:ascii="Times New Roman" w:hAnsi="Times New Roman" w:cs="Times New Roman"/>
          <w:lang w:eastAsia="ru-RU"/>
        </w:rPr>
        <w:t xml:space="preserve">: </w:t>
      </w:r>
    </w:p>
    <w:p w14:paraId="351D0681" w14:textId="77777777" w:rsidR="007F06F5" w:rsidRPr="00BB0132" w:rsidRDefault="007F06F5" w:rsidP="007F06F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>Анализ управления и организационной структуры;</w:t>
      </w:r>
    </w:p>
    <w:p w14:paraId="358F40E8" w14:textId="77777777" w:rsidR="007F06F5" w:rsidRPr="00BB0132" w:rsidRDefault="007F06F5" w:rsidP="007F06F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>Анализ систем финансового менеджмента, бухгалтерского учета, отчетности, управления рисками и персоналом;</w:t>
      </w:r>
    </w:p>
    <w:p w14:paraId="53B9C70B" w14:textId="77777777" w:rsidR="007F06F5" w:rsidRPr="00BB0132" w:rsidRDefault="007F06F5" w:rsidP="007F06F5">
      <w:pPr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 w:cs="Times New Roman"/>
          <w:u w:val="single"/>
          <w:lang w:eastAsia="ru-RU"/>
        </w:rPr>
      </w:pPr>
      <w:r w:rsidRPr="00BB0132">
        <w:rPr>
          <w:rFonts w:ascii="Times New Roman" w:hAnsi="Times New Roman" w:cs="Times New Roman"/>
          <w:u w:val="single"/>
          <w:lang w:eastAsia="ru-RU"/>
        </w:rPr>
        <w:t>Совместно с членами Коалиции подготовить рекомендации по плану действий по укреплению Коалиции и каждого члена Коалиции, направленные на решение следующих вопросов:</w:t>
      </w:r>
    </w:p>
    <w:p w14:paraId="1915C4C5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lang w:val="en-US" w:eastAsia="ru-RU"/>
        </w:rPr>
      </w:pPr>
      <w:r w:rsidRPr="00BB0132">
        <w:rPr>
          <w:rFonts w:ascii="Times New Roman" w:hAnsi="Times New Roman" w:cs="Times New Roman"/>
          <w:lang w:eastAsia="ru-RU"/>
        </w:rPr>
        <w:t>взаимоотношения между членами Коалиции;</w:t>
      </w:r>
    </w:p>
    <w:p w14:paraId="732A6FE3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>взаимоотношения между высшими, наблюдательными и исполнительными органами управления членов Коалиции;</w:t>
      </w:r>
    </w:p>
    <w:p w14:paraId="3E134BC1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lang w:val="en-US" w:eastAsia="ru-RU"/>
        </w:rPr>
      </w:pPr>
      <w:r w:rsidRPr="00BB0132">
        <w:rPr>
          <w:rFonts w:ascii="Times New Roman" w:hAnsi="Times New Roman" w:cs="Times New Roman"/>
          <w:lang w:eastAsia="ru-RU"/>
        </w:rPr>
        <w:t>Система управления рисками;</w:t>
      </w:r>
    </w:p>
    <w:p w14:paraId="054E015C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lang w:val="en-US" w:eastAsia="ru-RU"/>
        </w:rPr>
      </w:pPr>
      <w:r w:rsidRPr="00BB0132">
        <w:rPr>
          <w:rFonts w:ascii="Times New Roman" w:hAnsi="Times New Roman" w:cs="Times New Roman"/>
          <w:lang w:eastAsia="ru-RU"/>
        </w:rPr>
        <w:t xml:space="preserve">Система внутреннего контроля; </w:t>
      </w:r>
    </w:p>
    <w:p w14:paraId="1C96DC86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lastRenderedPageBreak/>
        <w:t xml:space="preserve">Распределение административных расходов организации между различными проектами и собственными средствами организации; </w:t>
      </w:r>
    </w:p>
    <w:p w14:paraId="6296B9B3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B0132">
        <w:rPr>
          <w:rFonts w:ascii="Times New Roman" w:hAnsi="Times New Roman" w:cs="Times New Roman"/>
          <w:lang w:eastAsia="ru-RU"/>
        </w:rPr>
        <w:t>Управление, развитие и мониторинг персонала (табели учета рабочего времени,</w:t>
      </w:r>
      <w:r w:rsidRPr="00BB0132">
        <w:rPr>
          <w:rFonts w:ascii="Times New Roman" w:hAnsi="Times New Roman" w:cs="Times New Roman"/>
        </w:rPr>
        <w:t xml:space="preserve"> производительность</w:t>
      </w:r>
      <w:r w:rsidRPr="00BB0132">
        <w:rPr>
          <w:rFonts w:ascii="Times New Roman" w:hAnsi="Times New Roman" w:cs="Times New Roman"/>
          <w:lang w:eastAsia="ru-RU"/>
        </w:rPr>
        <w:t>) и</w:t>
      </w:r>
    </w:p>
    <w:p w14:paraId="4B5EEAA2" w14:textId="77777777" w:rsidR="007F06F5" w:rsidRPr="00BB0132" w:rsidRDefault="007F06F5" w:rsidP="007F06F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B0132">
        <w:rPr>
          <w:rFonts w:ascii="Times New Roman" w:hAnsi="Times New Roman" w:cs="Times New Roman"/>
          <w:lang w:eastAsia="ru-RU"/>
        </w:rPr>
        <w:t xml:space="preserve">Другие вопросы по результатам оценки. </w:t>
      </w:r>
    </w:p>
    <w:p w14:paraId="135C2431" w14:textId="77777777" w:rsidR="007F06F5" w:rsidRPr="00BB0132" w:rsidRDefault="007F06F5" w:rsidP="007F06F5">
      <w:pPr>
        <w:autoSpaceDE w:val="0"/>
        <w:autoSpaceDN w:val="0"/>
        <w:adjustRightInd w:val="0"/>
        <w:spacing w:before="120"/>
        <w:ind w:firstLine="357"/>
        <w:jc w:val="both"/>
        <w:rPr>
          <w:rFonts w:ascii="Times New Roman" w:hAnsi="Times New Roman" w:cs="Times New Roman"/>
          <w:lang w:eastAsia="ru-RU"/>
        </w:rPr>
      </w:pPr>
      <w:r w:rsidRPr="00BB0132">
        <w:rPr>
          <w:rFonts w:ascii="Times New Roman" w:hAnsi="Times New Roman" w:cs="Times New Roman"/>
          <w:lang w:eastAsia="ru-RU"/>
        </w:rPr>
        <w:t>Рекомендации должны учитывать местное законодательство и требования SDC.</w:t>
      </w:r>
    </w:p>
    <w:p w14:paraId="50E52F63" w14:textId="77777777" w:rsidR="007F06F5" w:rsidRPr="005A5C54" w:rsidRDefault="007F06F5" w:rsidP="007F06F5">
      <w:pPr>
        <w:pStyle w:val="a4"/>
        <w:autoSpaceDE w:val="0"/>
        <w:autoSpaceDN w:val="0"/>
        <w:adjustRightInd w:val="0"/>
        <w:spacing w:before="120"/>
        <w:jc w:val="both"/>
        <w:rPr>
          <w:bCs/>
        </w:rPr>
      </w:pPr>
    </w:p>
    <w:p w14:paraId="0357BCAA" w14:textId="77777777" w:rsidR="007F06F5" w:rsidRPr="00BB0132" w:rsidRDefault="007F06F5" w:rsidP="007F06F5">
      <w:pPr>
        <w:pStyle w:val="a4"/>
        <w:keepNext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bCs/>
          <w:lang w:val="en-US"/>
        </w:rPr>
      </w:pPr>
      <w:r w:rsidRPr="00BB0132">
        <w:rPr>
          <w:rFonts w:ascii="Times New Roman" w:hAnsi="Times New Roman" w:cs="Times New Roman"/>
          <w:b/>
          <w:bCs/>
        </w:rPr>
        <w:t>Методология</w:t>
      </w:r>
    </w:p>
    <w:p w14:paraId="57ED751D" w14:textId="77777777" w:rsidR="007F06F5" w:rsidRPr="00BB0132" w:rsidRDefault="007F06F5" w:rsidP="007F06F5">
      <w:pPr>
        <w:keepNext/>
        <w:spacing w:before="120" w:after="120"/>
        <w:jc w:val="both"/>
        <w:outlineLvl w:val="0"/>
        <w:rPr>
          <w:rFonts w:ascii="Times New Roman" w:hAnsi="Times New Roman" w:cs="Times New Roman"/>
        </w:rPr>
      </w:pPr>
      <w:r w:rsidRPr="00BB0132">
        <w:rPr>
          <w:rFonts w:ascii="Times New Roman" w:hAnsi="Times New Roman" w:cs="Times New Roman"/>
        </w:rPr>
        <w:t xml:space="preserve">Оценка будет проводиться международным консультантом или группой из двух консультантов. Свободное владение русским языком обязательно. Консультант(ы) определят и разработают подход к реализации задания в предложении и доработают его в координации с SDC и DPI в начале своей работы. </w:t>
      </w:r>
    </w:p>
    <w:p w14:paraId="4BB2AB95" w14:textId="77777777" w:rsidR="007F06F5" w:rsidRPr="00BB0132" w:rsidRDefault="007F06F5" w:rsidP="007F06F5">
      <w:pPr>
        <w:spacing w:before="120" w:after="120"/>
        <w:jc w:val="both"/>
        <w:rPr>
          <w:rFonts w:ascii="Times New Roman" w:hAnsi="Times New Roman" w:cs="Times New Roman"/>
        </w:rPr>
      </w:pPr>
      <w:r w:rsidRPr="00BB0132">
        <w:rPr>
          <w:rFonts w:ascii="Times New Roman" w:hAnsi="Times New Roman" w:cs="Times New Roman"/>
        </w:rPr>
        <w:t>При подготовке плана работы консультант (консультанты) должен учитывать все имеющиеся оценки/проверки/контроль/организационный анализ, уже проведенные органами внутреннего и внешнего контроля. Основываясь на выводах этих оценок, консультант(ы) будет оказывать содействие в дальнейшем укреплении Коалиции и каждого члена Коалиции в целях совершенствования системы внутреннего контроля и консолидации финансовых и административных систем и процедур.</w:t>
      </w:r>
    </w:p>
    <w:p w14:paraId="206D4900" w14:textId="77777777" w:rsidR="007F06F5" w:rsidRPr="00BB0132" w:rsidRDefault="007F06F5" w:rsidP="007F06F5">
      <w:pPr>
        <w:spacing w:before="120" w:after="120"/>
        <w:jc w:val="both"/>
        <w:rPr>
          <w:rFonts w:ascii="Times New Roman" w:hAnsi="Times New Roman" w:cs="Times New Roman"/>
        </w:rPr>
      </w:pPr>
      <w:r w:rsidRPr="00BB0132">
        <w:rPr>
          <w:rFonts w:ascii="Times New Roman" w:hAnsi="Times New Roman" w:cs="Times New Roman"/>
        </w:rPr>
        <w:t xml:space="preserve">На основе рекомендаций оценки будет проведен дистанционный коучинг для поддержки Коалиции и каждого члена Коалиции в реализации рекомендаций оценки, включая поддержку в разработке необходимых внутренних политик и документов. </w:t>
      </w:r>
    </w:p>
    <w:p w14:paraId="1B963E9F" w14:textId="77777777" w:rsidR="007F06F5" w:rsidRPr="00BB0132" w:rsidRDefault="007F06F5" w:rsidP="007F06F5">
      <w:pPr>
        <w:spacing w:before="120" w:after="120"/>
        <w:jc w:val="both"/>
        <w:rPr>
          <w:rFonts w:ascii="Times New Roman" w:hAnsi="Times New Roman" w:cs="Times New Roman"/>
        </w:rPr>
      </w:pPr>
      <w:r w:rsidRPr="00BB0132">
        <w:rPr>
          <w:rFonts w:ascii="Times New Roman" w:hAnsi="Times New Roman" w:cs="Times New Roman"/>
          <w:b/>
        </w:rPr>
        <w:t>Конкретные задачи</w:t>
      </w:r>
      <w:r w:rsidRPr="00BB0132">
        <w:rPr>
          <w:rFonts w:ascii="Times New Roman" w:hAnsi="Times New Roman" w:cs="Times New Roman"/>
        </w:rPr>
        <w:t xml:space="preserve"> будут включать:</w:t>
      </w:r>
    </w:p>
    <w:p w14:paraId="6DED2763" w14:textId="77777777" w:rsidR="007F06F5" w:rsidRPr="00BB0132" w:rsidRDefault="007F06F5" w:rsidP="007F06F5">
      <w:pPr>
        <w:spacing w:before="120" w:after="120"/>
        <w:jc w:val="both"/>
        <w:rPr>
          <w:rFonts w:ascii="Times New Roman" w:hAnsi="Times New Roman" w:cs="Times New Roman"/>
          <w:bCs/>
          <w:u w:val="single"/>
        </w:rPr>
      </w:pPr>
      <w:r w:rsidRPr="00BB0132">
        <w:rPr>
          <w:rFonts w:ascii="Times New Roman" w:hAnsi="Times New Roman" w:cs="Times New Roman"/>
          <w:bCs/>
          <w:u w:val="single"/>
        </w:rPr>
        <w:t xml:space="preserve">Сбор информации, кабинетные исследования, интервью: </w:t>
      </w:r>
    </w:p>
    <w:p w14:paraId="3E0CE1B3" w14:textId="77777777" w:rsidR="007F06F5" w:rsidRPr="00BB0132" w:rsidRDefault="007F06F5" w:rsidP="007F06F5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BB0132">
        <w:rPr>
          <w:rFonts w:ascii="Times New Roman" w:hAnsi="Times New Roman" w:cs="Times New Roman"/>
          <w:bCs/>
        </w:rPr>
        <w:t>Сбор соответствующих документов (стратегия, годовые планы, годовые отчеты, финансовые отчеты и т.д.)</w:t>
      </w:r>
    </w:p>
    <w:p w14:paraId="0F3B56B0" w14:textId="77777777" w:rsidR="007F06F5" w:rsidRPr="00BB0132" w:rsidRDefault="007F06F5" w:rsidP="007F06F5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BB0132">
        <w:rPr>
          <w:rFonts w:ascii="Times New Roman" w:hAnsi="Times New Roman" w:cs="Times New Roman"/>
          <w:bCs/>
        </w:rPr>
        <w:t xml:space="preserve">Подготовка инструментария, необходимого для оценки </w:t>
      </w:r>
    </w:p>
    <w:p w14:paraId="72795C6D" w14:textId="77777777" w:rsidR="007F06F5" w:rsidRPr="00BB0132" w:rsidRDefault="007F06F5" w:rsidP="007F06F5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BB0132">
        <w:rPr>
          <w:rFonts w:ascii="Times New Roman" w:hAnsi="Times New Roman" w:cs="Times New Roman"/>
          <w:bCs/>
        </w:rPr>
        <w:t xml:space="preserve">Организация собеседований и/или групповых обсуждений с ключевыми сотрудниками или другими сотрудниками по мере необходимости </w:t>
      </w:r>
    </w:p>
    <w:p w14:paraId="34DBAE2B" w14:textId="77777777" w:rsidR="007F06F5" w:rsidRPr="00BB0132" w:rsidRDefault="007F06F5" w:rsidP="007F06F5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BB0132">
        <w:rPr>
          <w:rFonts w:ascii="Times New Roman" w:hAnsi="Times New Roman" w:cs="Times New Roman"/>
          <w:bCs/>
        </w:rPr>
        <w:t>Статистический и процедурный анализ</w:t>
      </w:r>
    </w:p>
    <w:p w14:paraId="6AB5891A" w14:textId="77777777" w:rsidR="007F06F5" w:rsidRPr="00BB0132" w:rsidRDefault="007F06F5" w:rsidP="007F06F5">
      <w:pPr>
        <w:spacing w:before="120" w:after="120"/>
        <w:jc w:val="both"/>
        <w:rPr>
          <w:rFonts w:ascii="Times New Roman" w:hAnsi="Times New Roman" w:cs="Times New Roman"/>
          <w:bCs/>
          <w:u w:val="single"/>
        </w:rPr>
      </w:pPr>
      <w:r w:rsidRPr="00BB0132">
        <w:rPr>
          <w:rFonts w:ascii="Times New Roman" w:hAnsi="Times New Roman" w:cs="Times New Roman"/>
          <w:bCs/>
          <w:u w:val="single"/>
        </w:rPr>
        <w:t xml:space="preserve">Анализ и диагностика Коалиции и каждого члена Коалиции: </w:t>
      </w:r>
    </w:p>
    <w:p w14:paraId="51599059" w14:textId="77777777" w:rsidR="007F06F5" w:rsidRPr="00BB0132" w:rsidRDefault="007F06F5" w:rsidP="007F06F5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BB0132">
        <w:rPr>
          <w:rFonts w:ascii="Times New Roman" w:hAnsi="Times New Roman" w:cs="Times New Roman"/>
          <w:bCs/>
        </w:rPr>
        <w:t xml:space="preserve">Анализ и диагностика </w:t>
      </w:r>
      <w:r w:rsidRPr="00BB0132">
        <w:rPr>
          <w:rFonts w:ascii="Times New Roman" w:hAnsi="Times New Roman" w:cs="Times New Roman"/>
        </w:rPr>
        <w:t xml:space="preserve">ресурсов </w:t>
      </w:r>
      <w:r w:rsidRPr="00BB0132">
        <w:rPr>
          <w:rFonts w:ascii="Times New Roman" w:hAnsi="Times New Roman" w:cs="Times New Roman"/>
          <w:bCs/>
        </w:rPr>
        <w:t>Коалиции и каждого члена Коалиции</w:t>
      </w:r>
    </w:p>
    <w:p w14:paraId="7403815E" w14:textId="77777777" w:rsidR="007F06F5" w:rsidRPr="00BB0132" w:rsidRDefault="007F06F5" w:rsidP="007F06F5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BB0132">
        <w:rPr>
          <w:rFonts w:ascii="Times New Roman" w:hAnsi="Times New Roman" w:cs="Times New Roman"/>
          <w:bCs/>
        </w:rPr>
        <w:t xml:space="preserve">Анализ и диагностика структуры управления </w:t>
      </w:r>
      <w:r w:rsidRPr="00BB0132">
        <w:rPr>
          <w:rFonts w:ascii="Times New Roman" w:hAnsi="Times New Roman" w:cs="Times New Roman"/>
        </w:rPr>
        <w:t>Коалиции и каждого члена Коалиции</w:t>
      </w:r>
      <w:r w:rsidRPr="00BB0132">
        <w:rPr>
          <w:rFonts w:ascii="Times New Roman" w:hAnsi="Times New Roman" w:cs="Times New Roman"/>
          <w:bCs/>
        </w:rPr>
        <w:t xml:space="preserve"> и процессов принятия решений</w:t>
      </w:r>
    </w:p>
    <w:p w14:paraId="4586E796" w14:textId="77777777" w:rsidR="007F06F5" w:rsidRPr="00BB0132" w:rsidRDefault="007F06F5" w:rsidP="007F06F5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BB0132">
        <w:rPr>
          <w:rFonts w:ascii="Times New Roman" w:hAnsi="Times New Roman" w:cs="Times New Roman"/>
          <w:bCs/>
        </w:rPr>
        <w:t xml:space="preserve">Анализ и диагностика процедур и правил </w:t>
      </w:r>
      <w:r w:rsidRPr="00BB0132">
        <w:rPr>
          <w:rFonts w:ascii="Times New Roman" w:hAnsi="Times New Roman" w:cs="Times New Roman"/>
        </w:rPr>
        <w:t>Коалиции и каждого члена Коалиции</w:t>
      </w:r>
      <w:r w:rsidRPr="00BB0132">
        <w:rPr>
          <w:rFonts w:ascii="Times New Roman" w:hAnsi="Times New Roman" w:cs="Times New Roman"/>
          <w:bCs/>
        </w:rPr>
        <w:t>, включая системы управления рисками и распределения затрат</w:t>
      </w:r>
    </w:p>
    <w:p w14:paraId="636F49D2" w14:textId="77777777" w:rsidR="007F06F5" w:rsidRPr="00BB0132" w:rsidRDefault="007F06F5" w:rsidP="007F06F5">
      <w:pPr>
        <w:spacing w:before="120" w:after="120"/>
        <w:jc w:val="both"/>
        <w:rPr>
          <w:rFonts w:ascii="Times New Roman" w:hAnsi="Times New Roman" w:cs="Times New Roman"/>
          <w:bCs/>
          <w:u w:val="single"/>
          <w:lang w:val="en-US"/>
        </w:rPr>
      </w:pPr>
      <w:r w:rsidRPr="00BB0132">
        <w:rPr>
          <w:rFonts w:ascii="Times New Roman" w:hAnsi="Times New Roman" w:cs="Times New Roman"/>
          <w:bCs/>
          <w:u w:val="single"/>
        </w:rPr>
        <w:t xml:space="preserve">Выводы и рекомендации </w:t>
      </w:r>
    </w:p>
    <w:p w14:paraId="3F6FDF72" w14:textId="77777777" w:rsidR="007F06F5" w:rsidRPr="00BB0132" w:rsidRDefault="007F06F5" w:rsidP="007F06F5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BB0132">
        <w:rPr>
          <w:rFonts w:ascii="Times New Roman" w:hAnsi="Times New Roman" w:cs="Times New Roman"/>
          <w:bCs/>
        </w:rPr>
        <w:t xml:space="preserve">Выводы и рекомендации в отношении управления и организационной структуры </w:t>
      </w:r>
    </w:p>
    <w:p w14:paraId="41DBF04E" w14:textId="77777777" w:rsidR="007F06F5" w:rsidRPr="00BB0132" w:rsidRDefault="007F06F5" w:rsidP="007F06F5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BB0132">
        <w:rPr>
          <w:rFonts w:ascii="Times New Roman" w:hAnsi="Times New Roman" w:cs="Times New Roman"/>
          <w:bCs/>
        </w:rPr>
        <w:t xml:space="preserve">Выводы и рекомендации по кадровой политике </w:t>
      </w:r>
    </w:p>
    <w:p w14:paraId="2D9EBCA6" w14:textId="77777777" w:rsidR="007F06F5" w:rsidRPr="00BB0132" w:rsidRDefault="007F06F5" w:rsidP="007F06F5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BB0132">
        <w:rPr>
          <w:rFonts w:ascii="Times New Roman" w:hAnsi="Times New Roman" w:cs="Times New Roman"/>
          <w:bCs/>
        </w:rPr>
        <w:t>Выводы и рекомендации в отношении политики управления/принятия решений</w:t>
      </w:r>
    </w:p>
    <w:p w14:paraId="3DB7FDC1" w14:textId="77777777" w:rsidR="007F06F5" w:rsidRPr="00BB0132" w:rsidRDefault="007F06F5" w:rsidP="007F06F5">
      <w:pPr>
        <w:spacing w:before="120" w:after="120"/>
        <w:jc w:val="both"/>
        <w:rPr>
          <w:rFonts w:ascii="Times New Roman" w:hAnsi="Times New Roman" w:cs="Times New Roman"/>
          <w:bCs/>
          <w:u w:val="single"/>
          <w:lang w:val="en-US"/>
        </w:rPr>
      </w:pPr>
      <w:r w:rsidRPr="00BB0132">
        <w:rPr>
          <w:rFonts w:ascii="Times New Roman" w:hAnsi="Times New Roman" w:cs="Times New Roman"/>
          <w:bCs/>
          <w:u w:val="single"/>
        </w:rPr>
        <w:t>Поддержка в выполнении рекомендаций</w:t>
      </w:r>
    </w:p>
    <w:p w14:paraId="568E9999" w14:textId="77777777" w:rsidR="007F06F5" w:rsidRPr="00BB0132" w:rsidRDefault="007F06F5" w:rsidP="007F06F5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BB0132">
        <w:rPr>
          <w:rFonts w:ascii="Times New Roman" w:hAnsi="Times New Roman" w:cs="Times New Roman"/>
          <w:bCs/>
        </w:rPr>
        <w:t>Наращивание потенциала и поддержка в осуществлении плана действий и рекомендаций</w:t>
      </w:r>
    </w:p>
    <w:p w14:paraId="37A75D2C" w14:textId="77777777" w:rsidR="007F06F5" w:rsidRPr="00BB0132" w:rsidRDefault="007F06F5" w:rsidP="007F06F5">
      <w:pPr>
        <w:pStyle w:val="a4"/>
        <w:keepNext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bCs/>
          <w:lang w:val="en-US"/>
        </w:rPr>
      </w:pPr>
      <w:r w:rsidRPr="00BB0132">
        <w:rPr>
          <w:rFonts w:ascii="Times New Roman" w:hAnsi="Times New Roman" w:cs="Times New Roman"/>
          <w:b/>
          <w:bCs/>
        </w:rPr>
        <w:lastRenderedPageBreak/>
        <w:t xml:space="preserve">Конечные результаты </w:t>
      </w:r>
    </w:p>
    <w:p w14:paraId="2AAE2B9D" w14:textId="77777777" w:rsidR="007F06F5" w:rsidRPr="00BB0132" w:rsidRDefault="007F06F5" w:rsidP="007F06F5">
      <w:pPr>
        <w:keepNext/>
        <w:spacing w:before="120" w:after="120"/>
        <w:jc w:val="both"/>
        <w:outlineLvl w:val="0"/>
        <w:rPr>
          <w:rFonts w:ascii="Times New Roman" w:hAnsi="Times New Roman" w:cs="Times New Roman"/>
          <w:bCs/>
        </w:rPr>
      </w:pPr>
      <w:r w:rsidRPr="00BB0132">
        <w:rPr>
          <w:rFonts w:ascii="Times New Roman" w:hAnsi="Times New Roman" w:cs="Times New Roman"/>
          <w:bCs/>
        </w:rPr>
        <w:t xml:space="preserve">Консультант(ы) представят следующие документы: </w:t>
      </w:r>
    </w:p>
    <w:p w14:paraId="76CBFC93" w14:textId="77777777" w:rsidR="007F06F5" w:rsidRPr="00BB0132" w:rsidRDefault="007F06F5" w:rsidP="007F06F5">
      <w:pPr>
        <w:pStyle w:val="a4"/>
        <w:keepNext/>
        <w:numPr>
          <w:ilvl w:val="0"/>
          <w:numId w:val="9"/>
        </w:numPr>
        <w:spacing w:before="120" w:after="120" w:line="240" w:lineRule="auto"/>
        <w:contextualSpacing w:val="0"/>
        <w:jc w:val="both"/>
        <w:outlineLvl w:val="0"/>
        <w:rPr>
          <w:rFonts w:ascii="Times New Roman" w:hAnsi="Times New Roman" w:cs="Times New Roman"/>
          <w:bCs/>
        </w:rPr>
      </w:pPr>
      <w:r w:rsidRPr="00BB0132">
        <w:rPr>
          <w:rFonts w:ascii="Times New Roman" w:hAnsi="Times New Roman" w:cs="Times New Roman"/>
          <w:bCs/>
        </w:rPr>
        <w:t>План и программа оценочной миссии должны быть представлены через две недели после начала задания;</w:t>
      </w:r>
    </w:p>
    <w:p w14:paraId="0AA58BBE" w14:textId="77777777" w:rsidR="007F06F5" w:rsidRPr="00BB0132" w:rsidRDefault="007F06F5" w:rsidP="007F06F5">
      <w:pPr>
        <w:pStyle w:val="a4"/>
        <w:keepNext/>
        <w:numPr>
          <w:ilvl w:val="0"/>
          <w:numId w:val="9"/>
        </w:numPr>
        <w:spacing w:before="120" w:after="120" w:line="240" w:lineRule="auto"/>
        <w:contextualSpacing w:val="0"/>
        <w:jc w:val="both"/>
        <w:outlineLvl w:val="0"/>
        <w:rPr>
          <w:rFonts w:ascii="Times New Roman" w:hAnsi="Times New Roman" w:cs="Times New Roman"/>
          <w:bCs/>
        </w:rPr>
      </w:pPr>
      <w:r w:rsidRPr="00BB0132">
        <w:rPr>
          <w:rFonts w:ascii="Times New Roman" w:hAnsi="Times New Roman" w:cs="Times New Roman"/>
          <w:bCs/>
        </w:rPr>
        <w:t xml:space="preserve">Первая миссия должна состоятся в течение четырех недель после </w:t>
      </w:r>
      <w:proofErr w:type="spellStart"/>
      <w:r w:rsidRPr="00BB0132">
        <w:rPr>
          <w:rFonts w:ascii="Times New Roman" w:hAnsi="Times New Roman" w:cs="Times New Roman"/>
          <w:bCs/>
        </w:rPr>
        <w:t>начаа</w:t>
      </w:r>
      <w:proofErr w:type="spellEnd"/>
      <w:r w:rsidRPr="00BB0132">
        <w:rPr>
          <w:rFonts w:ascii="Times New Roman" w:hAnsi="Times New Roman" w:cs="Times New Roman"/>
          <w:bCs/>
        </w:rPr>
        <w:t xml:space="preserve"> исполнения задания;</w:t>
      </w:r>
    </w:p>
    <w:p w14:paraId="0BEEA0B7" w14:textId="77777777" w:rsidR="007F06F5" w:rsidRPr="00BB0132" w:rsidRDefault="007F06F5" w:rsidP="007F06F5">
      <w:pPr>
        <w:pStyle w:val="a4"/>
        <w:keepNext/>
        <w:numPr>
          <w:ilvl w:val="0"/>
          <w:numId w:val="9"/>
        </w:numPr>
        <w:spacing w:before="120" w:after="120" w:line="240" w:lineRule="auto"/>
        <w:contextualSpacing w:val="0"/>
        <w:jc w:val="both"/>
        <w:outlineLvl w:val="0"/>
        <w:rPr>
          <w:rFonts w:ascii="Times New Roman" w:hAnsi="Times New Roman" w:cs="Times New Roman"/>
          <w:bCs/>
        </w:rPr>
      </w:pPr>
      <w:r w:rsidRPr="00BB0132">
        <w:rPr>
          <w:rFonts w:ascii="Times New Roman" w:hAnsi="Times New Roman" w:cs="Times New Roman"/>
          <w:bCs/>
        </w:rPr>
        <w:t>Презентация предварительных результатов оценки и предварительных рекомендаций на первом совещании по подведению итогов в Бишкеке;</w:t>
      </w:r>
    </w:p>
    <w:p w14:paraId="5C9831CB" w14:textId="77777777" w:rsidR="007F06F5" w:rsidRPr="00BB0132" w:rsidRDefault="007F06F5" w:rsidP="007F06F5">
      <w:pPr>
        <w:pStyle w:val="a4"/>
        <w:keepNext/>
        <w:numPr>
          <w:ilvl w:val="0"/>
          <w:numId w:val="9"/>
        </w:numPr>
        <w:spacing w:before="120" w:after="120" w:line="240" w:lineRule="auto"/>
        <w:contextualSpacing w:val="0"/>
        <w:jc w:val="both"/>
        <w:outlineLvl w:val="0"/>
        <w:rPr>
          <w:rFonts w:ascii="Times New Roman" w:hAnsi="Times New Roman" w:cs="Times New Roman"/>
          <w:bCs/>
        </w:rPr>
      </w:pPr>
      <w:r w:rsidRPr="00BB0132">
        <w:rPr>
          <w:rFonts w:ascii="Times New Roman" w:hAnsi="Times New Roman" w:cs="Times New Roman"/>
          <w:bCs/>
        </w:rPr>
        <w:t xml:space="preserve">проект доклада с анализом и рекомендациями, а также план действий по выполнению рекомендаций, который должен быть представлен через три недели после завершения миссии; </w:t>
      </w:r>
    </w:p>
    <w:p w14:paraId="55BB241E" w14:textId="77777777" w:rsidR="007F06F5" w:rsidRPr="00BB0132" w:rsidRDefault="007F06F5" w:rsidP="007F06F5">
      <w:pPr>
        <w:pStyle w:val="a4"/>
        <w:keepNext/>
        <w:numPr>
          <w:ilvl w:val="0"/>
          <w:numId w:val="9"/>
        </w:numPr>
        <w:spacing w:before="120" w:after="120" w:line="240" w:lineRule="auto"/>
        <w:contextualSpacing w:val="0"/>
        <w:jc w:val="both"/>
        <w:outlineLvl w:val="0"/>
        <w:rPr>
          <w:rFonts w:ascii="Times New Roman" w:hAnsi="Times New Roman" w:cs="Times New Roman"/>
          <w:bCs/>
        </w:rPr>
      </w:pPr>
      <w:r w:rsidRPr="00BB0132">
        <w:rPr>
          <w:rFonts w:ascii="Times New Roman" w:hAnsi="Times New Roman" w:cs="Times New Roman"/>
          <w:bCs/>
        </w:rPr>
        <w:t xml:space="preserve">Проекты внутренних документов по совершенствованию процедур (совместно разработанные консультантом (консультантами) и ДОИ) на русском языке в течение трех месяцев после начала выполнения задания; </w:t>
      </w:r>
    </w:p>
    <w:p w14:paraId="076577E8" w14:textId="77777777" w:rsidR="007F06F5" w:rsidRPr="00BB0132" w:rsidRDefault="007F06F5" w:rsidP="007F06F5">
      <w:pPr>
        <w:pStyle w:val="a4"/>
        <w:keepNext/>
        <w:numPr>
          <w:ilvl w:val="0"/>
          <w:numId w:val="9"/>
        </w:numPr>
        <w:spacing w:before="120" w:after="120" w:line="240" w:lineRule="auto"/>
        <w:contextualSpacing w:val="0"/>
        <w:jc w:val="both"/>
        <w:outlineLvl w:val="0"/>
        <w:rPr>
          <w:rFonts w:ascii="Times New Roman" w:hAnsi="Times New Roman" w:cs="Times New Roman"/>
          <w:bCs/>
        </w:rPr>
      </w:pPr>
      <w:r w:rsidRPr="00BB0132">
        <w:rPr>
          <w:rFonts w:ascii="Times New Roman" w:hAnsi="Times New Roman" w:cs="Times New Roman"/>
          <w:bCs/>
        </w:rPr>
        <w:t>Доклад об обзоре хода работы, содержащий оценку хода осуществления плана действий (отчет о мониторинге), должен быть представлен через неделю после второй миссии в Бишкек. Проект доклада об обзоре положения дел будет представлен на втором совещании по подведению итогов в Бишкеке;</w:t>
      </w:r>
    </w:p>
    <w:p w14:paraId="5AB5AD10" w14:textId="77777777" w:rsidR="007F06F5" w:rsidRPr="00BB0132" w:rsidRDefault="007F06F5" w:rsidP="007F06F5">
      <w:pPr>
        <w:pStyle w:val="a4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BB0132">
        <w:rPr>
          <w:rFonts w:ascii="Times New Roman" w:hAnsi="Times New Roman" w:cs="Times New Roman"/>
          <w:bCs/>
        </w:rPr>
        <w:t>Окончательный отчет с анализом и рекомендациями, а также окончательный статус плана действий будут представлены через четыре недели после второй миссии в Бишкек.</w:t>
      </w:r>
    </w:p>
    <w:p w14:paraId="06BD17FB" w14:textId="77777777" w:rsidR="007F06F5" w:rsidRPr="005A5C54" w:rsidRDefault="007F06F5" w:rsidP="007F06F5">
      <w:pPr>
        <w:pStyle w:val="a4"/>
        <w:ind w:left="928"/>
        <w:jc w:val="both"/>
        <w:rPr>
          <w:bCs/>
        </w:rPr>
      </w:pPr>
    </w:p>
    <w:tbl>
      <w:tblPr>
        <w:tblStyle w:val="a3"/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425"/>
        <w:gridCol w:w="425"/>
        <w:gridCol w:w="284"/>
        <w:gridCol w:w="283"/>
        <w:gridCol w:w="284"/>
        <w:gridCol w:w="253"/>
        <w:gridCol w:w="30"/>
        <w:gridCol w:w="284"/>
        <w:gridCol w:w="283"/>
        <w:gridCol w:w="284"/>
        <w:gridCol w:w="255"/>
        <w:gridCol w:w="28"/>
        <w:gridCol w:w="284"/>
        <w:gridCol w:w="283"/>
        <w:gridCol w:w="284"/>
        <w:gridCol w:w="257"/>
        <w:gridCol w:w="26"/>
        <w:gridCol w:w="329"/>
        <w:gridCol w:w="284"/>
        <w:gridCol w:w="284"/>
        <w:gridCol w:w="237"/>
        <w:gridCol w:w="284"/>
        <w:gridCol w:w="425"/>
      </w:tblGrid>
      <w:tr w:rsidR="007F06F5" w:rsidRPr="005A5C54" w14:paraId="2AAB9C4C" w14:textId="77777777" w:rsidTr="00E50B9D">
        <w:tc>
          <w:tcPr>
            <w:tcW w:w="2686" w:type="dxa"/>
            <w:vMerge w:val="restart"/>
          </w:tcPr>
          <w:p w14:paraId="1F4DB182" w14:textId="77777777" w:rsidR="007F06F5" w:rsidRPr="00F9099B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9099B">
              <w:rPr>
                <w:rFonts w:ascii="Arial" w:hAnsi="Arial" w:cs="Arial"/>
                <w:bCs/>
                <w:sz w:val="18"/>
                <w:szCs w:val="18"/>
              </w:rPr>
              <w:t>Этап работы</w:t>
            </w:r>
          </w:p>
        </w:tc>
        <w:tc>
          <w:tcPr>
            <w:tcW w:w="850" w:type="dxa"/>
            <w:gridSpan w:val="2"/>
          </w:tcPr>
          <w:p w14:paraId="029F79FC" w14:textId="77777777" w:rsidR="007F06F5" w:rsidRPr="002E3AF8" w:rsidRDefault="007F06F5" w:rsidP="00E50B9D">
            <w:pPr>
              <w:keepNext/>
              <w:contextualSpacing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  <w:r w:rsidRPr="002E3AF8">
              <w:rPr>
                <w:rFonts w:ascii="Arial" w:hAnsi="Arial" w:cs="Arial"/>
                <w:bCs/>
                <w:sz w:val="14"/>
                <w:szCs w:val="14"/>
              </w:rPr>
              <w:t>Ноябрь</w:t>
            </w:r>
          </w:p>
        </w:tc>
        <w:tc>
          <w:tcPr>
            <w:tcW w:w="1104" w:type="dxa"/>
            <w:gridSpan w:val="4"/>
          </w:tcPr>
          <w:p w14:paraId="3B175D0A" w14:textId="77777777" w:rsidR="007F06F5" w:rsidRPr="002E3AF8" w:rsidRDefault="007F06F5" w:rsidP="00E50B9D">
            <w:pPr>
              <w:keepNext/>
              <w:contextualSpacing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  <w:r w:rsidRPr="002E3AF8">
              <w:rPr>
                <w:rFonts w:ascii="Arial" w:hAnsi="Arial" w:cs="Arial"/>
                <w:bCs/>
                <w:sz w:val="14"/>
                <w:szCs w:val="14"/>
              </w:rPr>
              <w:t>Декабрь</w:t>
            </w:r>
          </w:p>
        </w:tc>
        <w:tc>
          <w:tcPr>
            <w:tcW w:w="1136" w:type="dxa"/>
            <w:gridSpan w:val="5"/>
          </w:tcPr>
          <w:p w14:paraId="0A590DB9" w14:textId="77777777" w:rsidR="007F06F5" w:rsidRPr="002E3AF8" w:rsidRDefault="007F06F5" w:rsidP="00E50B9D">
            <w:pPr>
              <w:keepNext/>
              <w:contextualSpacing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  <w:r w:rsidRPr="002E3AF8">
              <w:rPr>
                <w:rFonts w:ascii="Arial" w:hAnsi="Arial" w:cs="Arial"/>
                <w:bCs/>
                <w:sz w:val="14"/>
                <w:szCs w:val="14"/>
              </w:rPr>
              <w:t>Январь</w:t>
            </w:r>
          </w:p>
        </w:tc>
        <w:tc>
          <w:tcPr>
            <w:tcW w:w="1136" w:type="dxa"/>
            <w:gridSpan w:val="5"/>
          </w:tcPr>
          <w:p w14:paraId="15702875" w14:textId="77777777" w:rsidR="007F06F5" w:rsidRPr="002E3AF8" w:rsidRDefault="007F06F5" w:rsidP="00E50B9D">
            <w:pPr>
              <w:keepNext/>
              <w:contextualSpacing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  <w:r w:rsidRPr="002E3AF8">
              <w:rPr>
                <w:rFonts w:ascii="Arial" w:hAnsi="Arial" w:cs="Arial"/>
                <w:bCs/>
                <w:sz w:val="14"/>
                <w:szCs w:val="14"/>
              </w:rPr>
              <w:t>Февраль</w:t>
            </w:r>
          </w:p>
        </w:tc>
        <w:tc>
          <w:tcPr>
            <w:tcW w:w="1160" w:type="dxa"/>
            <w:gridSpan w:val="5"/>
          </w:tcPr>
          <w:p w14:paraId="0ACCD777" w14:textId="77777777" w:rsidR="007F06F5" w:rsidRPr="002E3AF8" w:rsidRDefault="007F06F5" w:rsidP="00E50B9D">
            <w:pPr>
              <w:keepNext/>
              <w:contextualSpacing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  <w:r w:rsidRPr="002E3AF8">
              <w:rPr>
                <w:rFonts w:ascii="Arial" w:hAnsi="Arial" w:cs="Arial"/>
                <w:bCs/>
                <w:sz w:val="14"/>
                <w:szCs w:val="14"/>
              </w:rPr>
              <w:t>Март</w:t>
            </w:r>
          </w:p>
          <w:p w14:paraId="6F72A43A" w14:textId="77777777" w:rsidR="007F06F5" w:rsidRPr="002E3AF8" w:rsidRDefault="007F06F5" w:rsidP="00E50B9D">
            <w:pPr>
              <w:keepNext/>
              <w:contextualSpacing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1C134786" w14:textId="77777777" w:rsidR="007F06F5" w:rsidRPr="002E3AF8" w:rsidRDefault="007F06F5" w:rsidP="00E50B9D">
            <w:pPr>
              <w:keepNext/>
              <w:contextualSpacing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  <w:r w:rsidRPr="002E3AF8">
              <w:rPr>
                <w:rFonts w:ascii="Arial" w:hAnsi="Arial" w:cs="Arial"/>
                <w:bCs/>
                <w:sz w:val="14"/>
                <w:szCs w:val="14"/>
              </w:rPr>
              <w:t>Апрель</w:t>
            </w:r>
          </w:p>
        </w:tc>
      </w:tr>
      <w:tr w:rsidR="007F06F5" w:rsidRPr="005A5C54" w14:paraId="57C13F8F" w14:textId="77777777" w:rsidTr="00E50B9D">
        <w:tc>
          <w:tcPr>
            <w:tcW w:w="2686" w:type="dxa"/>
            <w:vMerge/>
          </w:tcPr>
          <w:p w14:paraId="1497E76E" w14:textId="77777777" w:rsidR="007F06F5" w:rsidRPr="00F9099B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229615F1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2"/>
                <w:szCs w:val="12"/>
              </w:rPr>
            </w:pPr>
            <w:r w:rsidRPr="005A5C54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</w:tcPr>
          <w:p w14:paraId="72D4941E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2"/>
                <w:szCs w:val="12"/>
              </w:rPr>
            </w:pPr>
            <w:r w:rsidRPr="005A5C54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14:paraId="60432D5F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2"/>
                <w:szCs w:val="12"/>
              </w:rPr>
            </w:pPr>
            <w:r w:rsidRPr="005A5C54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14:paraId="0C3073B3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2"/>
                <w:szCs w:val="12"/>
              </w:rPr>
            </w:pPr>
            <w:r w:rsidRPr="005A5C54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14:paraId="39D359DE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2"/>
                <w:szCs w:val="12"/>
              </w:rPr>
            </w:pPr>
            <w:r w:rsidRPr="005A5C54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283" w:type="dxa"/>
            <w:gridSpan w:val="2"/>
          </w:tcPr>
          <w:p w14:paraId="7C2B6A31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2"/>
                <w:szCs w:val="12"/>
              </w:rPr>
            </w:pPr>
            <w:r w:rsidRPr="005A5C54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14:paraId="2895E41F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2"/>
                <w:szCs w:val="12"/>
              </w:rPr>
            </w:pPr>
            <w:r w:rsidRPr="005A5C54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14:paraId="195D38BB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2"/>
                <w:szCs w:val="12"/>
              </w:rPr>
            </w:pPr>
            <w:r w:rsidRPr="005A5C54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14:paraId="28560BA4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2"/>
                <w:szCs w:val="12"/>
              </w:rPr>
            </w:pPr>
            <w:r w:rsidRPr="005A5C54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283" w:type="dxa"/>
            <w:gridSpan w:val="2"/>
          </w:tcPr>
          <w:p w14:paraId="080964C7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2"/>
                <w:szCs w:val="12"/>
              </w:rPr>
            </w:pPr>
            <w:r w:rsidRPr="005A5C54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14:paraId="6B6BE3BB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2"/>
                <w:szCs w:val="12"/>
              </w:rPr>
            </w:pPr>
            <w:r w:rsidRPr="005A5C54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14:paraId="250C7B0A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2"/>
                <w:szCs w:val="12"/>
              </w:rPr>
            </w:pPr>
            <w:r w:rsidRPr="005A5C54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14:paraId="6AD8FD15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2"/>
                <w:szCs w:val="12"/>
              </w:rPr>
            </w:pPr>
            <w:r w:rsidRPr="005A5C54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283" w:type="dxa"/>
            <w:gridSpan w:val="2"/>
          </w:tcPr>
          <w:p w14:paraId="2171EF4A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2"/>
                <w:szCs w:val="12"/>
              </w:rPr>
            </w:pPr>
            <w:r w:rsidRPr="005A5C54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329" w:type="dxa"/>
          </w:tcPr>
          <w:p w14:paraId="2AF5A9A6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2"/>
                <w:szCs w:val="12"/>
              </w:rPr>
            </w:pPr>
            <w:r w:rsidRPr="005A5C54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</w:tcPr>
          <w:p w14:paraId="2D7A0EE3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2"/>
                <w:szCs w:val="12"/>
              </w:rPr>
            </w:pPr>
            <w:r w:rsidRPr="005A5C54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14:paraId="3E99DC2D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2"/>
                <w:szCs w:val="12"/>
              </w:rPr>
            </w:pPr>
            <w:r w:rsidRPr="005A5C54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237" w:type="dxa"/>
          </w:tcPr>
          <w:p w14:paraId="2FA08FA7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2"/>
                <w:szCs w:val="12"/>
              </w:rPr>
            </w:pPr>
            <w:r w:rsidRPr="005A5C54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14:paraId="3DB3C353" w14:textId="77777777" w:rsidR="007F06F5" w:rsidRPr="002D02FF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>1</w:t>
            </w:r>
          </w:p>
        </w:tc>
        <w:tc>
          <w:tcPr>
            <w:tcW w:w="425" w:type="dxa"/>
          </w:tcPr>
          <w:p w14:paraId="34590FD5" w14:textId="77777777" w:rsidR="007F06F5" w:rsidRPr="002D02FF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>2</w:t>
            </w:r>
          </w:p>
        </w:tc>
      </w:tr>
      <w:tr w:rsidR="007F06F5" w:rsidRPr="005A5C54" w14:paraId="16F77593" w14:textId="77777777" w:rsidTr="00E50B9D">
        <w:tc>
          <w:tcPr>
            <w:tcW w:w="2686" w:type="dxa"/>
          </w:tcPr>
          <w:p w14:paraId="2BB04158" w14:textId="77777777" w:rsidR="007F06F5" w:rsidRPr="00F9099B" w:rsidRDefault="007F06F5" w:rsidP="00E50B9D">
            <w:pPr>
              <w:keepNext/>
              <w:contextualSpacing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9099B">
              <w:rPr>
                <w:rFonts w:ascii="Arial" w:hAnsi="Arial" w:cs="Arial"/>
                <w:bCs/>
                <w:sz w:val="18"/>
                <w:szCs w:val="18"/>
              </w:rPr>
              <w:t>План и программа миссии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3C79221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3A3DC891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6F442E93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14:paraId="25BBBDAE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2E6894DA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D234476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4D0657D4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14:paraId="07644EB0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2E2B7447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418A66D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50B58D3F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14:paraId="5FF88812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5C8900BD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EEE4993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9" w:type="dxa"/>
          </w:tcPr>
          <w:p w14:paraId="668949FE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3BE87AF4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60C1A8C6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14:paraId="00748E5F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12868F35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4F309CAD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06F5" w:rsidRPr="00AC3F6E" w14:paraId="1E5D2887" w14:textId="77777777" w:rsidTr="00E50B9D">
        <w:tc>
          <w:tcPr>
            <w:tcW w:w="2686" w:type="dxa"/>
          </w:tcPr>
          <w:p w14:paraId="2E664698" w14:textId="77777777" w:rsidR="007F06F5" w:rsidRPr="00F9099B" w:rsidRDefault="007F06F5" w:rsidP="00E50B9D">
            <w:pPr>
              <w:keepNext/>
              <w:contextualSpacing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9099B">
              <w:rPr>
                <w:rFonts w:ascii="Arial" w:hAnsi="Arial" w:cs="Arial"/>
                <w:bCs/>
                <w:sz w:val="18"/>
                <w:szCs w:val="18"/>
              </w:rPr>
              <w:t>Сбор и предоставление информации со стороны членов Коалиции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4AF05EB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982D3E6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B07FBFD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C5B0627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B07FFEE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CF2074E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C0F1DDF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AF9A219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5CC4165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7F58EE4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2779A72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16CC42F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4AEFE77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864E856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</w:tcPr>
          <w:p w14:paraId="7231DB32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DB2F097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4C4D28E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1DCE7B9D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568EA57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74F2B6D6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06F5" w:rsidRPr="005A5C54" w14:paraId="52047007" w14:textId="77777777" w:rsidTr="00E50B9D">
        <w:tc>
          <w:tcPr>
            <w:tcW w:w="2686" w:type="dxa"/>
          </w:tcPr>
          <w:p w14:paraId="76E89563" w14:textId="77777777" w:rsidR="007F06F5" w:rsidRPr="00F9099B" w:rsidRDefault="007F06F5" w:rsidP="00E50B9D">
            <w:pPr>
              <w:keepNext/>
              <w:contextualSpacing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9099B">
              <w:rPr>
                <w:rFonts w:ascii="Arial" w:hAnsi="Arial" w:cs="Arial"/>
                <w:bCs/>
                <w:sz w:val="18"/>
                <w:szCs w:val="18"/>
              </w:rPr>
              <w:t>Первая миссия</w:t>
            </w:r>
          </w:p>
        </w:tc>
        <w:tc>
          <w:tcPr>
            <w:tcW w:w="425" w:type="dxa"/>
            <w:shd w:val="clear" w:color="auto" w:fill="auto"/>
          </w:tcPr>
          <w:p w14:paraId="53B7E8B5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1673767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FC5477A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E540416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82DA812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A95797A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3622D57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8722B49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EF370B4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C37736B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653BB66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548DE44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783C8F7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5C1AC02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</w:tcPr>
          <w:p w14:paraId="31F0A15E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76B686A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E919F78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639FAD43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FC6C81D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07F80C81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06F5" w:rsidRPr="005A5C54" w14:paraId="4C624B16" w14:textId="77777777" w:rsidTr="00E50B9D">
        <w:tc>
          <w:tcPr>
            <w:tcW w:w="2686" w:type="dxa"/>
          </w:tcPr>
          <w:p w14:paraId="0F4A9B1B" w14:textId="77777777" w:rsidR="007F06F5" w:rsidRPr="00F9099B" w:rsidRDefault="007F06F5" w:rsidP="00E50B9D">
            <w:pPr>
              <w:keepNext/>
              <w:contextualSpacing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9099B">
              <w:rPr>
                <w:rFonts w:ascii="Arial" w:hAnsi="Arial" w:cs="Arial"/>
                <w:bCs/>
                <w:sz w:val="18"/>
                <w:szCs w:val="18"/>
              </w:rPr>
              <w:t>Предварительные выводы и рекомендации</w:t>
            </w:r>
          </w:p>
        </w:tc>
        <w:tc>
          <w:tcPr>
            <w:tcW w:w="425" w:type="dxa"/>
            <w:shd w:val="clear" w:color="auto" w:fill="auto"/>
          </w:tcPr>
          <w:p w14:paraId="3C2D1720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8DD08EF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2AC784A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D8F82F3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59F9CD7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750A19F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B552F78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E0AFF37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6ED94C1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3709DA8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25D254D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A6CCAC6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AABD291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CB9C6D6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</w:tcPr>
          <w:p w14:paraId="7E0DE87D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69D0136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04473ED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5D1FEF96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D3738F1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3A90498C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06F5" w:rsidRPr="00AC3F6E" w14:paraId="5D166E20" w14:textId="77777777" w:rsidTr="00E50B9D">
        <w:tc>
          <w:tcPr>
            <w:tcW w:w="2686" w:type="dxa"/>
          </w:tcPr>
          <w:p w14:paraId="71E772EA" w14:textId="77777777" w:rsidR="007F06F5" w:rsidRPr="00F9099B" w:rsidRDefault="007F06F5" w:rsidP="00E50B9D">
            <w:pPr>
              <w:keepNext/>
              <w:contextualSpacing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9099B">
              <w:rPr>
                <w:rFonts w:ascii="Arial" w:hAnsi="Arial" w:cs="Arial"/>
                <w:bCs/>
                <w:sz w:val="18"/>
                <w:szCs w:val="18"/>
              </w:rPr>
              <w:t>Отчет о ситуации и рекомендациях</w:t>
            </w:r>
          </w:p>
        </w:tc>
        <w:tc>
          <w:tcPr>
            <w:tcW w:w="425" w:type="dxa"/>
            <w:shd w:val="clear" w:color="auto" w:fill="auto"/>
          </w:tcPr>
          <w:p w14:paraId="573078BD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994BCB4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A18419F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F9A50E4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E1E3CC2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90D90C1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8771161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AE2AB33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4CEB220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8942CFF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78F1564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734869A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51CA3A8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6BF121E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</w:tcPr>
          <w:p w14:paraId="6B26B135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66933D1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CF5B29D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08D21B23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F67C8FB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4B963906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06F5" w:rsidRPr="005A5C54" w14:paraId="0B0D8444" w14:textId="77777777" w:rsidTr="00E50B9D">
        <w:tc>
          <w:tcPr>
            <w:tcW w:w="2686" w:type="dxa"/>
          </w:tcPr>
          <w:p w14:paraId="408B9E63" w14:textId="77777777" w:rsidR="007F06F5" w:rsidRPr="00F9099B" w:rsidRDefault="007F06F5" w:rsidP="00E50B9D">
            <w:pPr>
              <w:keepNext/>
              <w:contextualSpacing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9099B">
              <w:rPr>
                <w:rFonts w:ascii="Arial" w:hAnsi="Arial" w:cs="Arial"/>
                <w:bCs/>
                <w:sz w:val="18"/>
                <w:szCs w:val="18"/>
              </w:rPr>
              <w:t>Проекты политик</w:t>
            </w:r>
          </w:p>
        </w:tc>
        <w:tc>
          <w:tcPr>
            <w:tcW w:w="425" w:type="dxa"/>
            <w:shd w:val="clear" w:color="auto" w:fill="auto"/>
          </w:tcPr>
          <w:p w14:paraId="474810DC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2BB9A0B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21174D5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2BBEB3D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E3C7787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0C22CE4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440FF2A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C89F460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3710C79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2F852B4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B898792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622F77B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67D04DF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530BB06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</w:tcPr>
          <w:p w14:paraId="1983B11F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C2EA0DD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3DE3DBD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0FF35474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4FBA2FD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44A863E8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06F5" w:rsidRPr="00AC3F6E" w14:paraId="00B2CA3C" w14:textId="77777777" w:rsidTr="00E50B9D">
        <w:tc>
          <w:tcPr>
            <w:tcW w:w="2686" w:type="dxa"/>
          </w:tcPr>
          <w:p w14:paraId="2097D509" w14:textId="77777777" w:rsidR="007F06F5" w:rsidRPr="00F9099B" w:rsidRDefault="007F06F5" w:rsidP="00E50B9D">
            <w:pPr>
              <w:keepNext/>
              <w:contextualSpacing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9099B">
              <w:rPr>
                <w:rFonts w:ascii="Arial" w:hAnsi="Arial" w:cs="Arial"/>
                <w:bCs/>
                <w:sz w:val="18"/>
                <w:szCs w:val="18"/>
              </w:rPr>
              <w:t>Вторая миссия и отчет о мониторинге</w:t>
            </w:r>
          </w:p>
        </w:tc>
        <w:tc>
          <w:tcPr>
            <w:tcW w:w="425" w:type="dxa"/>
            <w:shd w:val="clear" w:color="auto" w:fill="auto"/>
          </w:tcPr>
          <w:p w14:paraId="7BD473D0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06BDF96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56D3C0E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AA5D8A1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7744F69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4174E75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D2993C8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F1718C1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41D6754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711B25E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CF4AA78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13CB434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0DA1D69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AA71BE9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D9D9D9" w:themeFill="background1" w:themeFillShade="D9"/>
          </w:tcPr>
          <w:p w14:paraId="27E6A086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5A8F737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E20DE35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5DF9804D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7BBFD23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11EB0886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06F5" w:rsidRPr="00AC3F6E" w14:paraId="66A57DEB" w14:textId="77777777" w:rsidTr="00E50B9D">
        <w:tc>
          <w:tcPr>
            <w:tcW w:w="2686" w:type="dxa"/>
          </w:tcPr>
          <w:p w14:paraId="66051332" w14:textId="77777777" w:rsidR="007F06F5" w:rsidRPr="00F9099B" w:rsidRDefault="007F06F5" w:rsidP="00E50B9D">
            <w:pPr>
              <w:keepNext/>
              <w:contextualSpacing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9099B">
              <w:rPr>
                <w:rFonts w:ascii="Arial" w:hAnsi="Arial" w:cs="Arial"/>
                <w:bCs/>
                <w:sz w:val="18"/>
                <w:szCs w:val="18"/>
              </w:rPr>
              <w:t>Окончательный отчет и план действий</w:t>
            </w:r>
          </w:p>
        </w:tc>
        <w:tc>
          <w:tcPr>
            <w:tcW w:w="425" w:type="dxa"/>
            <w:shd w:val="clear" w:color="auto" w:fill="auto"/>
          </w:tcPr>
          <w:p w14:paraId="6BBE563B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FFEFE68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472C80D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27186B1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8492AC4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9FA5B6B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4921D3F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478B9A7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677053F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F1129F5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083A7AB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5C43B23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41D9CC2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F139FA8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</w:tcPr>
          <w:p w14:paraId="5EE0E06C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40E7AC1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A88310D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05CEB224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594D090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19121B14" w14:textId="77777777" w:rsidR="007F06F5" w:rsidRPr="005A5C54" w:rsidRDefault="007F06F5" w:rsidP="00E50B9D">
            <w:pPr>
              <w:keepNext/>
              <w:contextualSpacing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5DC8E4A" w14:textId="77777777" w:rsidR="007F06F5" w:rsidRDefault="007F06F5" w:rsidP="007F06F5"/>
    <w:p w14:paraId="294B98A2" w14:textId="77777777" w:rsidR="007F06F5" w:rsidRPr="00F9099B" w:rsidRDefault="007F06F5" w:rsidP="007F06F5">
      <w:pPr>
        <w:keepNext/>
        <w:spacing w:before="120" w:after="120"/>
        <w:jc w:val="both"/>
        <w:outlineLvl w:val="0"/>
        <w:rPr>
          <w:rFonts w:ascii="Times New Roman" w:hAnsi="Times New Roman" w:cs="Times New Roman"/>
        </w:rPr>
      </w:pPr>
      <w:r w:rsidRPr="00F9099B">
        <w:rPr>
          <w:rFonts w:ascii="Times New Roman" w:hAnsi="Times New Roman" w:cs="Times New Roman"/>
        </w:rPr>
        <w:t>Все доклады будут на русском и английском языках. Остальные документы, т.е. внутренние процессуальные документы, будут на русском языке. Консультант(ы) предоставят электронную версию докладов и приложений в формате Word и Excel.</w:t>
      </w:r>
    </w:p>
    <w:p w14:paraId="542B3A1E" w14:textId="77777777" w:rsidR="007F06F5" w:rsidRPr="005A5C54" w:rsidRDefault="007F06F5" w:rsidP="007F06F5">
      <w:pPr>
        <w:keepNext/>
        <w:spacing w:before="120" w:after="120"/>
        <w:jc w:val="both"/>
        <w:outlineLvl w:val="0"/>
        <w:rPr>
          <w:rFonts w:ascii="Arial" w:hAnsi="Arial" w:cs="Arial"/>
          <w:bCs/>
        </w:rPr>
      </w:pPr>
      <w:r w:rsidRPr="005A5C54">
        <w:rPr>
          <w:rFonts w:ascii="Arial" w:hAnsi="Arial" w:cs="Arial"/>
          <w:bCs/>
        </w:rPr>
        <w:t xml:space="preserve"> </w:t>
      </w:r>
    </w:p>
    <w:p w14:paraId="196184BE" w14:textId="77777777" w:rsidR="007F06F5" w:rsidRPr="00BB0132" w:rsidRDefault="007F06F5" w:rsidP="007F06F5">
      <w:pPr>
        <w:pStyle w:val="a4"/>
        <w:keepNext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bCs/>
          <w:lang w:val="en-US"/>
        </w:rPr>
      </w:pPr>
      <w:r w:rsidRPr="00BB0132">
        <w:rPr>
          <w:rFonts w:ascii="Times New Roman" w:hAnsi="Times New Roman" w:cs="Times New Roman"/>
          <w:b/>
          <w:bCs/>
        </w:rPr>
        <w:t>Бюджет</w:t>
      </w:r>
    </w:p>
    <w:p w14:paraId="4D2E1975" w14:textId="77777777" w:rsidR="007F06F5" w:rsidRPr="00BB0132" w:rsidRDefault="007F06F5" w:rsidP="007F06F5">
      <w:pPr>
        <w:jc w:val="both"/>
        <w:rPr>
          <w:rFonts w:ascii="Times New Roman" w:hAnsi="Times New Roman" w:cs="Times New Roman"/>
        </w:rPr>
      </w:pPr>
      <w:r w:rsidRPr="00BB0132">
        <w:rPr>
          <w:rFonts w:ascii="Times New Roman" w:hAnsi="Times New Roman" w:cs="Times New Roman"/>
        </w:rPr>
        <w:t xml:space="preserve">Общий бюджет, включая гонорары консультантов, расходы на проезд и проживание в Бишкеке, а также другие расходы, будет определен на основе предложения, сделанного консультантом (консультантами), и в соответствии с внутренними руководящими принципами и правилами и положениями DPI. Оплата производится двумя траншами: 25% после утверждения </w:t>
      </w:r>
      <w:r w:rsidRPr="00BB0132">
        <w:rPr>
          <w:rFonts w:ascii="Times New Roman" w:hAnsi="Times New Roman" w:cs="Times New Roman"/>
          <w:bCs/>
        </w:rPr>
        <w:t>плана и программы оценочной миссии; 75% после принятия финального отчета.</w:t>
      </w:r>
    </w:p>
    <w:p w14:paraId="7C936C53" w14:textId="77777777" w:rsidR="007F06F5" w:rsidRPr="00BB0132" w:rsidRDefault="007F06F5" w:rsidP="007F06F5">
      <w:pPr>
        <w:pStyle w:val="a4"/>
        <w:keepNext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bCs/>
          <w:lang w:val="en-US"/>
        </w:rPr>
      </w:pPr>
      <w:r w:rsidRPr="00BB0132">
        <w:rPr>
          <w:rFonts w:ascii="Times New Roman" w:hAnsi="Times New Roman" w:cs="Times New Roman"/>
          <w:b/>
          <w:bCs/>
        </w:rPr>
        <w:lastRenderedPageBreak/>
        <w:t>Логистика</w:t>
      </w:r>
    </w:p>
    <w:p w14:paraId="3EAFAFA7" w14:textId="77777777" w:rsidR="007F06F5" w:rsidRPr="00BB0132" w:rsidRDefault="007F06F5" w:rsidP="007F06F5">
      <w:pPr>
        <w:jc w:val="both"/>
        <w:rPr>
          <w:rFonts w:ascii="Times New Roman" w:hAnsi="Times New Roman" w:cs="Times New Roman"/>
        </w:rPr>
      </w:pPr>
      <w:r w:rsidRPr="00BB0132">
        <w:rPr>
          <w:rFonts w:ascii="Times New Roman" w:hAnsi="Times New Roman" w:cs="Times New Roman"/>
        </w:rPr>
        <w:t xml:space="preserve">Вся логистика для этого задания должна быть организована консультантом (консультантами), </w:t>
      </w:r>
      <w:r w:rsidRPr="00BB0132">
        <w:rPr>
          <w:rFonts w:ascii="Times New Roman" w:hAnsi="Times New Roman" w:cs="Times New Roman"/>
          <w:lang w:val="en-US"/>
        </w:rPr>
        <w:t>DPI</w:t>
      </w:r>
      <w:r w:rsidRPr="00BB0132">
        <w:rPr>
          <w:rFonts w:ascii="Times New Roman" w:hAnsi="Times New Roman" w:cs="Times New Roman"/>
        </w:rPr>
        <w:t xml:space="preserve"> может помочь в случае необходимости.</w:t>
      </w:r>
    </w:p>
    <w:p w14:paraId="74F26B1D" w14:textId="77777777" w:rsidR="007F06F5" w:rsidRPr="00BB0132" w:rsidRDefault="007F06F5" w:rsidP="007F06F5">
      <w:pPr>
        <w:pStyle w:val="a4"/>
        <w:keepNext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bCs/>
          <w:lang w:val="en-US"/>
        </w:rPr>
      </w:pPr>
      <w:r w:rsidRPr="00BB0132">
        <w:rPr>
          <w:rFonts w:ascii="Times New Roman" w:hAnsi="Times New Roman" w:cs="Times New Roman"/>
          <w:b/>
          <w:bCs/>
        </w:rPr>
        <w:t xml:space="preserve">Длительность </w:t>
      </w:r>
    </w:p>
    <w:p w14:paraId="13042263" w14:textId="77777777" w:rsidR="007F06F5" w:rsidRPr="00BB0132" w:rsidRDefault="007F06F5" w:rsidP="007F06F5">
      <w:pPr>
        <w:pStyle w:val="a6"/>
        <w:jc w:val="both"/>
        <w:rPr>
          <w:rFonts w:eastAsiaTheme="minorHAnsi"/>
          <w:sz w:val="22"/>
          <w:szCs w:val="22"/>
          <w:lang w:eastAsia="en-US"/>
        </w:rPr>
      </w:pPr>
      <w:r w:rsidRPr="00BB0132">
        <w:rPr>
          <w:rFonts w:eastAsiaTheme="minorHAnsi"/>
          <w:sz w:val="22"/>
          <w:szCs w:val="22"/>
          <w:lang w:eastAsia="en-US"/>
        </w:rPr>
        <w:t>Полевые работы по оценке будут проходить в течение 14 дней, в декабре 2023 года. Он будет проводить в Бишкеке, Кыргызстан. Вся предварительная работа должна быть выполнена в офисе консультанта до начала полевых работ.</w:t>
      </w:r>
    </w:p>
    <w:p w14:paraId="20A7E458" w14:textId="77777777" w:rsidR="007F06F5" w:rsidRPr="00BB0132" w:rsidRDefault="007F06F5" w:rsidP="007F06F5">
      <w:pPr>
        <w:pStyle w:val="a6"/>
        <w:jc w:val="both"/>
        <w:rPr>
          <w:szCs w:val="22"/>
        </w:rPr>
      </w:pPr>
    </w:p>
    <w:p w14:paraId="63EFB62B" w14:textId="77777777" w:rsidR="007F06F5" w:rsidRPr="00BB0132" w:rsidRDefault="007F06F5" w:rsidP="007F06F5">
      <w:pPr>
        <w:pStyle w:val="a6"/>
        <w:jc w:val="both"/>
        <w:rPr>
          <w:rFonts w:eastAsiaTheme="minorHAnsi"/>
          <w:sz w:val="22"/>
          <w:szCs w:val="22"/>
          <w:lang w:eastAsia="en-US"/>
        </w:rPr>
      </w:pPr>
      <w:r w:rsidRPr="00BB0132">
        <w:rPr>
          <w:rFonts w:eastAsiaTheme="minorHAnsi"/>
          <w:sz w:val="22"/>
          <w:szCs w:val="22"/>
          <w:lang w:eastAsia="en-US"/>
        </w:rPr>
        <w:t xml:space="preserve">Дистанционный инструктаж и последующее наблюдение за осуществлением плана действий предусматриваются в течение шести месяцев после завершения оценки. </w:t>
      </w:r>
    </w:p>
    <w:p w14:paraId="7E2C8448" w14:textId="77777777" w:rsidR="007F06F5" w:rsidRPr="00BB0132" w:rsidRDefault="007F06F5" w:rsidP="007F06F5">
      <w:pPr>
        <w:pStyle w:val="a6"/>
        <w:jc w:val="both"/>
        <w:rPr>
          <w:rFonts w:eastAsiaTheme="minorHAnsi"/>
          <w:sz w:val="22"/>
          <w:szCs w:val="22"/>
          <w:lang w:eastAsia="en-US"/>
        </w:rPr>
      </w:pPr>
      <w:r w:rsidRPr="00BB0132">
        <w:rPr>
          <w:rFonts w:eastAsiaTheme="minorHAnsi"/>
          <w:sz w:val="22"/>
          <w:szCs w:val="22"/>
          <w:lang w:eastAsia="en-US"/>
        </w:rPr>
        <w:t>Ориентировочная дата начала выполнения задания – 10 ноября 2023.</w:t>
      </w:r>
    </w:p>
    <w:p w14:paraId="0CDBB73E" w14:textId="77777777" w:rsidR="007F06F5" w:rsidRPr="00BB0132" w:rsidRDefault="007F06F5" w:rsidP="007F06F5">
      <w:pPr>
        <w:pStyle w:val="a6"/>
        <w:rPr>
          <w:szCs w:val="22"/>
        </w:rPr>
      </w:pPr>
    </w:p>
    <w:p w14:paraId="64118D61" w14:textId="77777777" w:rsidR="007F06F5" w:rsidRPr="00BB0132" w:rsidRDefault="007F06F5" w:rsidP="007F06F5">
      <w:pPr>
        <w:pStyle w:val="a4"/>
        <w:keepNext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BB0132">
        <w:rPr>
          <w:rFonts w:ascii="Times New Roman" w:hAnsi="Times New Roman" w:cs="Times New Roman"/>
          <w:b/>
          <w:bCs/>
        </w:rPr>
        <w:t>Акцептабельность</w:t>
      </w:r>
      <w:proofErr w:type="spellEnd"/>
      <w:r w:rsidRPr="00BB0132">
        <w:rPr>
          <w:rFonts w:ascii="Times New Roman" w:hAnsi="Times New Roman" w:cs="Times New Roman"/>
          <w:b/>
          <w:bCs/>
        </w:rPr>
        <w:t xml:space="preserve"> </w:t>
      </w:r>
    </w:p>
    <w:p w14:paraId="1069A380" w14:textId="77777777" w:rsidR="007F06F5" w:rsidRPr="00BB0132" w:rsidRDefault="007F06F5" w:rsidP="007F06F5">
      <w:pPr>
        <w:pStyle w:val="a6"/>
        <w:jc w:val="both"/>
        <w:rPr>
          <w:sz w:val="22"/>
          <w:szCs w:val="22"/>
        </w:rPr>
      </w:pPr>
      <w:r w:rsidRPr="00BB0132">
        <w:rPr>
          <w:sz w:val="22"/>
          <w:szCs w:val="22"/>
        </w:rPr>
        <w:t xml:space="preserve">В своей работе Консультант (консультанты) будут подотчетны ИПР в лице председателя правления Надежды Добрецовой, члена правления </w:t>
      </w:r>
      <w:proofErr w:type="spellStart"/>
      <w:r w:rsidRPr="00BB0132">
        <w:rPr>
          <w:sz w:val="22"/>
          <w:szCs w:val="22"/>
        </w:rPr>
        <w:t>Бекболота</w:t>
      </w:r>
      <w:proofErr w:type="spellEnd"/>
      <w:r w:rsidRPr="00BB0132">
        <w:rPr>
          <w:sz w:val="22"/>
          <w:szCs w:val="22"/>
        </w:rPr>
        <w:t xml:space="preserve"> </w:t>
      </w:r>
      <w:proofErr w:type="spellStart"/>
      <w:r w:rsidRPr="00BB0132">
        <w:rPr>
          <w:sz w:val="22"/>
          <w:szCs w:val="22"/>
        </w:rPr>
        <w:t>Бекиева</w:t>
      </w:r>
      <w:proofErr w:type="spellEnd"/>
      <w:r w:rsidRPr="00BB0132">
        <w:rPr>
          <w:sz w:val="22"/>
          <w:szCs w:val="22"/>
        </w:rPr>
        <w:t xml:space="preserve"> и уполномоченных ими лиц. Выводы и рекомендации в отношении Союза МСУ будут обсуждаться с участием директора </w:t>
      </w:r>
      <w:proofErr w:type="spellStart"/>
      <w:r w:rsidRPr="00BB0132">
        <w:rPr>
          <w:sz w:val="22"/>
          <w:szCs w:val="22"/>
        </w:rPr>
        <w:t>Бектургана</w:t>
      </w:r>
      <w:proofErr w:type="spellEnd"/>
      <w:r w:rsidRPr="00BB0132">
        <w:rPr>
          <w:sz w:val="22"/>
          <w:szCs w:val="22"/>
        </w:rPr>
        <w:t xml:space="preserve"> </w:t>
      </w:r>
      <w:proofErr w:type="spellStart"/>
      <w:r w:rsidRPr="00BB0132">
        <w:rPr>
          <w:sz w:val="22"/>
          <w:szCs w:val="22"/>
        </w:rPr>
        <w:t>Орозбаева</w:t>
      </w:r>
      <w:proofErr w:type="spellEnd"/>
      <w:r w:rsidRPr="00BB0132">
        <w:rPr>
          <w:sz w:val="22"/>
          <w:szCs w:val="22"/>
        </w:rPr>
        <w:t xml:space="preserve"> и уполномоченных им лиц. Выводы и рекомендации в отношении АМУЦА будут обсуждаться с участием директора Асель </w:t>
      </w:r>
      <w:proofErr w:type="spellStart"/>
      <w:r w:rsidRPr="00BB0132">
        <w:rPr>
          <w:sz w:val="22"/>
          <w:szCs w:val="22"/>
        </w:rPr>
        <w:t>Курманалиевей</w:t>
      </w:r>
      <w:proofErr w:type="spellEnd"/>
      <w:r w:rsidRPr="00BB0132">
        <w:rPr>
          <w:sz w:val="22"/>
          <w:szCs w:val="22"/>
        </w:rPr>
        <w:t xml:space="preserve"> и уполномоченных ею лиц.</w:t>
      </w:r>
    </w:p>
    <w:p w14:paraId="3FB21022" w14:textId="77777777" w:rsidR="007F06F5" w:rsidRPr="009A4054" w:rsidRDefault="007F06F5" w:rsidP="007F06F5">
      <w:pPr>
        <w:pStyle w:val="a6"/>
        <w:rPr>
          <w:rFonts w:ascii="Arial" w:hAnsi="Arial" w:cs="Arial"/>
          <w:szCs w:val="22"/>
        </w:rPr>
      </w:pPr>
    </w:p>
    <w:p w14:paraId="2D21CFC1" w14:textId="77777777" w:rsidR="007F06F5" w:rsidRDefault="007F06F5" w:rsidP="007F06F5">
      <w:pPr>
        <w:rPr>
          <w:rFonts w:ascii="Times New Roman" w:hAnsi="Times New Roman" w:cs="Times New Roman"/>
          <w:sz w:val="16"/>
          <w:szCs w:val="16"/>
        </w:rPr>
      </w:pPr>
    </w:p>
    <w:p w14:paraId="052BEC12" w14:textId="77777777" w:rsidR="007F06F5" w:rsidRDefault="007F06F5" w:rsidP="007F06F5">
      <w:pPr>
        <w:rPr>
          <w:rFonts w:ascii="Times New Roman" w:hAnsi="Times New Roman" w:cs="Times New Roman"/>
          <w:sz w:val="16"/>
          <w:szCs w:val="16"/>
        </w:rPr>
      </w:pPr>
    </w:p>
    <w:p w14:paraId="010C1090" w14:textId="77777777" w:rsidR="007F06F5" w:rsidRDefault="007F06F5" w:rsidP="007F06F5">
      <w:pPr>
        <w:rPr>
          <w:rFonts w:ascii="Times New Roman" w:hAnsi="Times New Roman" w:cs="Times New Roman"/>
          <w:sz w:val="16"/>
          <w:szCs w:val="16"/>
        </w:rPr>
      </w:pPr>
    </w:p>
    <w:p w14:paraId="46E40342" w14:textId="77777777" w:rsidR="007F06F5" w:rsidRDefault="007F06F5" w:rsidP="007F06F5">
      <w:pPr>
        <w:rPr>
          <w:rFonts w:ascii="Times New Roman" w:hAnsi="Times New Roman" w:cs="Times New Roman"/>
          <w:sz w:val="16"/>
          <w:szCs w:val="16"/>
        </w:rPr>
      </w:pPr>
    </w:p>
    <w:p w14:paraId="345DD57E" w14:textId="77777777" w:rsidR="007F06F5" w:rsidRDefault="007F06F5" w:rsidP="007F06F5">
      <w:pPr>
        <w:rPr>
          <w:rFonts w:ascii="Times New Roman" w:hAnsi="Times New Roman" w:cs="Times New Roman"/>
          <w:sz w:val="16"/>
          <w:szCs w:val="16"/>
        </w:rPr>
      </w:pPr>
    </w:p>
    <w:p w14:paraId="0ED411E7" w14:textId="77777777" w:rsidR="007F06F5" w:rsidRDefault="007F06F5" w:rsidP="007F06F5">
      <w:pPr>
        <w:rPr>
          <w:rFonts w:ascii="Times New Roman" w:hAnsi="Times New Roman" w:cs="Times New Roman"/>
          <w:sz w:val="16"/>
          <w:szCs w:val="16"/>
        </w:rPr>
      </w:pPr>
    </w:p>
    <w:p w14:paraId="78BF7733" w14:textId="77777777" w:rsidR="007F06F5" w:rsidRDefault="007F06F5" w:rsidP="007F06F5">
      <w:pPr>
        <w:rPr>
          <w:rFonts w:ascii="Times New Roman" w:hAnsi="Times New Roman" w:cs="Times New Roman"/>
          <w:sz w:val="16"/>
          <w:szCs w:val="16"/>
        </w:rPr>
      </w:pPr>
    </w:p>
    <w:p w14:paraId="644CC6C7" w14:textId="77777777" w:rsidR="007F06F5" w:rsidRDefault="007F06F5" w:rsidP="007F06F5">
      <w:pPr>
        <w:rPr>
          <w:rFonts w:ascii="Times New Roman" w:hAnsi="Times New Roman" w:cs="Times New Roman"/>
          <w:sz w:val="16"/>
          <w:szCs w:val="16"/>
        </w:rPr>
      </w:pPr>
    </w:p>
    <w:p w14:paraId="7072A5D1" w14:textId="77777777" w:rsidR="007F06F5" w:rsidRDefault="007F06F5" w:rsidP="007F06F5">
      <w:pPr>
        <w:rPr>
          <w:rFonts w:ascii="Times New Roman" w:hAnsi="Times New Roman" w:cs="Times New Roman"/>
          <w:sz w:val="16"/>
          <w:szCs w:val="16"/>
        </w:rPr>
      </w:pPr>
    </w:p>
    <w:p w14:paraId="795047D8" w14:textId="77777777" w:rsidR="007F06F5" w:rsidRDefault="007F06F5" w:rsidP="007F06F5">
      <w:pPr>
        <w:rPr>
          <w:rFonts w:ascii="Times New Roman" w:hAnsi="Times New Roman" w:cs="Times New Roman"/>
          <w:sz w:val="16"/>
          <w:szCs w:val="16"/>
        </w:rPr>
      </w:pPr>
    </w:p>
    <w:p w14:paraId="17E132AA" w14:textId="77777777" w:rsidR="007F06F5" w:rsidRDefault="007F06F5" w:rsidP="007F06F5">
      <w:pPr>
        <w:rPr>
          <w:rFonts w:ascii="Times New Roman" w:hAnsi="Times New Roman" w:cs="Times New Roman"/>
          <w:sz w:val="16"/>
          <w:szCs w:val="16"/>
        </w:rPr>
      </w:pPr>
    </w:p>
    <w:p w14:paraId="35616DB7" w14:textId="77777777" w:rsidR="007F06F5" w:rsidRDefault="007F06F5" w:rsidP="007F06F5">
      <w:pPr>
        <w:rPr>
          <w:rFonts w:ascii="Times New Roman" w:hAnsi="Times New Roman" w:cs="Times New Roman"/>
          <w:sz w:val="16"/>
          <w:szCs w:val="16"/>
        </w:rPr>
      </w:pPr>
    </w:p>
    <w:p w14:paraId="75BAC3AB" w14:textId="77777777" w:rsidR="007F06F5" w:rsidRDefault="007F06F5" w:rsidP="007F06F5">
      <w:pPr>
        <w:rPr>
          <w:rFonts w:ascii="Times New Roman" w:hAnsi="Times New Roman" w:cs="Times New Roman"/>
          <w:sz w:val="16"/>
          <w:szCs w:val="16"/>
        </w:rPr>
      </w:pPr>
    </w:p>
    <w:p w14:paraId="55A2C60F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5FA2"/>
    <w:multiLevelType w:val="hybridMultilevel"/>
    <w:tmpl w:val="4798ED3E"/>
    <w:lvl w:ilvl="0" w:tplc="06FAE284">
      <w:start w:val="1"/>
      <w:numFmt w:val="russianUpp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russianUpper"/>
      <w:lvlText w:val="%2."/>
      <w:lvlJc w:val="left"/>
      <w:pPr>
        <w:ind w:left="1440" w:hanging="360"/>
      </w:pPr>
    </w:lvl>
    <w:lvl w:ilvl="2" w:tplc="0409001B">
      <w:start w:val="1"/>
      <w:numFmt w:val="russianUpper"/>
      <w:lvlText w:val="%3."/>
      <w:lvlJc w:val="right"/>
      <w:pPr>
        <w:ind w:left="2160" w:hanging="180"/>
      </w:pPr>
    </w:lvl>
    <w:lvl w:ilvl="3" w:tplc="0409000F">
      <w:start w:val="1"/>
      <w:numFmt w:val="russianUpper"/>
      <w:lvlText w:val="%4."/>
      <w:lvlJc w:val="left"/>
      <w:pPr>
        <w:ind w:left="2880" w:hanging="360"/>
      </w:pPr>
    </w:lvl>
    <w:lvl w:ilvl="4" w:tplc="04090019">
      <w:start w:val="1"/>
      <w:numFmt w:val="russianUpper"/>
      <w:lvlText w:val="%5."/>
      <w:lvlJc w:val="left"/>
      <w:pPr>
        <w:ind w:left="3600" w:hanging="360"/>
      </w:pPr>
    </w:lvl>
    <w:lvl w:ilvl="5" w:tplc="0409001B">
      <w:start w:val="1"/>
      <w:numFmt w:val="russianUpper"/>
      <w:lvlText w:val="%6."/>
      <w:lvlJc w:val="right"/>
      <w:pPr>
        <w:ind w:left="4320" w:hanging="180"/>
      </w:pPr>
    </w:lvl>
    <w:lvl w:ilvl="6" w:tplc="0409000F">
      <w:start w:val="1"/>
      <w:numFmt w:val="russianUpper"/>
      <w:lvlText w:val="%7."/>
      <w:lvlJc w:val="left"/>
      <w:pPr>
        <w:ind w:left="5040" w:hanging="360"/>
      </w:pPr>
    </w:lvl>
    <w:lvl w:ilvl="7" w:tplc="04090019">
      <w:start w:val="1"/>
      <w:numFmt w:val="russianUpper"/>
      <w:lvlText w:val="%8."/>
      <w:lvlJc w:val="left"/>
      <w:pPr>
        <w:ind w:left="5760" w:hanging="360"/>
      </w:pPr>
    </w:lvl>
    <w:lvl w:ilvl="8" w:tplc="0409001B">
      <w:start w:val="1"/>
      <w:numFmt w:val="russianUpper"/>
      <w:lvlText w:val="%9."/>
      <w:lvlJc w:val="right"/>
      <w:pPr>
        <w:ind w:left="6480" w:hanging="180"/>
      </w:pPr>
    </w:lvl>
  </w:abstractNum>
  <w:abstractNum w:abstractNumId="1" w15:restartNumberingAfterBreak="0">
    <w:nsid w:val="367E419F"/>
    <w:multiLevelType w:val="hybridMultilevel"/>
    <w:tmpl w:val="84785BB0"/>
    <w:lvl w:ilvl="0" w:tplc="8528D2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37514"/>
    <w:multiLevelType w:val="hybridMultilevel"/>
    <w:tmpl w:val="8FDE9D6E"/>
    <w:lvl w:ilvl="0" w:tplc="8528D2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83812"/>
    <w:multiLevelType w:val="hybridMultilevel"/>
    <w:tmpl w:val="AF3E5670"/>
    <w:lvl w:ilvl="0" w:tplc="8528D2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30955"/>
    <w:multiLevelType w:val="hybridMultilevel"/>
    <w:tmpl w:val="40F2ED6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lang w:val="ru-RU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72AC8"/>
    <w:multiLevelType w:val="hybridMultilevel"/>
    <w:tmpl w:val="D9BC7960"/>
    <w:lvl w:ilvl="0" w:tplc="8528D2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E36A1"/>
    <w:multiLevelType w:val="hybridMultilevel"/>
    <w:tmpl w:val="F4EA80AE"/>
    <w:lvl w:ilvl="0" w:tplc="8528D2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B46D0"/>
    <w:multiLevelType w:val="hybridMultilevel"/>
    <w:tmpl w:val="DC8A37EC"/>
    <w:lvl w:ilvl="0" w:tplc="8528D21E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9A04599"/>
    <w:multiLevelType w:val="hybridMultilevel"/>
    <w:tmpl w:val="9F700BC4"/>
    <w:lvl w:ilvl="0" w:tplc="8528D2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F5"/>
    <w:rsid w:val="006A068F"/>
    <w:rsid w:val="007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BB0E"/>
  <w15:chartTrackingRefBased/>
  <w15:docId w15:val="{1120CA19-5EE8-4D82-AE49-EFB6DD3A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5"/>
    <w:qFormat/>
    <w:rsid w:val="007F06F5"/>
    <w:pPr>
      <w:ind w:left="720"/>
      <w:contextualSpacing/>
    </w:pPr>
  </w:style>
  <w:style w:type="paragraph" w:styleId="a6">
    <w:name w:val="footer"/>
    <w:basedOn w:val="a"/>
    <w:link w:val="a7"/>
    <w:rsid w:val="007F0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7F06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4"/>
    <w:qFormat/>
    <w:locked/>
    <w:rsid w:val="007F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2796</Words>
  <Characters>15941</Characters>
  <Application>Microsoft Office Word</Application>
  <DocSecurity>0</DocSecurity>
  <Lines>132</Lines>
  <Paragraphs>37</Paragraphs>
  <ScaleCrop>false</ScaleCrop>
  <Company/>
  <LinksUpToDate>false</LinksUpToDate>
  <CharactersWithSpaces>18700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2023-10-12T04:36:00Z</dcterms:created>
  <dcterms:modified xsi:type="dcterms:W3CDTF">2023-10-12T04:37:00Z</dcterms:modified>
</cp:coreProperties>
</file>