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2A42D4" w:rsidRDefault="000C1F8A" w:rsidP="00716705">
      <w:pPr>
        <w:tabs>
          <w:tab w:val="left" w:pos="1985"/>
          <w:tab w:val="left" w:pos="2382"/>
          <w:tab w:val="left" w:pos="2948"/>
        </w:tabs>
        <w:jc w:val="both"/>
        <w:rPr>
          <w:rFonts w:ascii="Arial" w:hAnsi="Arial" w:cs="Arial"/>
          <w:sz w:val="22"/>
          <w:szCs w:val="22"/>
          <w:lang w:val="ru-RU"/>
        </w:rPr>
      </w:pPr>
      <w:bookmarkStart w:id="0" w:name="_GoBack"/>
      <w:bookmarkEnd w:id="0"/>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r w:rsidRPr="00275877">
        <w:rPr>
          <w:rFonts w:ascii="Arial" w:hAnsi="Arial"/>
          <w:b/>
          <w:sz w:val="21"/>
          <w:szCs w:val="21"/>
          <w:lang w:val="en-GB"/>
        </w:rPr>
        <w:t>a</w:t>
      </w:r>
      <w:r w:rsidR="00DE41DC" w:rsidRPr="00275877">
        <w:rPr>
          <w:rFonts w:ascii="Arial" w:hAnsi="Arial"/>
          <w:b/>
          <w:sz w:val="21"/>
          <w:szCs w:val="21"/>
          <w:lang w:val="en-GB"/>
        </w:rPr>
        <w:t>nnex</w:t>
      </w:r>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Bishkek 720044, St. 7 Liniya,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9"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6C3F98" w:rsidP="00641D33">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 (Ф.И.О.)</w:t>
            </w: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6C3F98" w:rsidP="009B7103">
            <w:pPr>
              <w:tabs>
                <w:tab w:val="left" w:pos="1985"/>
                <w:tab w:val="left" w:pos="2382"/>
                <w:tab w:val="left" w:pos="2948"/>
              </w:tabs>
              <w:rPr>
                <w:rFonts w:ascii="Arial" w:hAnsi="Arial" w:cs="Arial"/>
                <w:sz w:val="21"/>
                <w:szCs w:val="21"/>
                <w:lang w:val="ru-RU"/>
              </w:rPr>
            </w:pPr>
            <w:r>
              <w:rPr>
                <w:rFonts w:ascii="Arial" w:hAnsi="Arial" w:cs="Arial"/>
                <w:sz w:val="21"/>
                <w:szCs w:val="21"/>
                <w:lang w:val="en-US"/>
              </w:rPr>
              <w:t>____________</w:t>
            </w:r>
          </w:p>
        </w:tc>
        <w:tc>
          <w:tcPr>
            <w:tcW w:w="56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To:</w:t>
            </w:r>
          </w:p>
        </w:tc>
        <w:tc>
          <w:tcPr>
            <w:tcW w:w="2865" w:type="dxa"/>
            <w:vAlign w:val="center"/>
          </w:tcPr>
          <w:p w:rsidR="007D75AE" w:rsidRDefault="007D75AE" w:rsidP="00FE46DF">
            <w:pPr>
              <w:tabs>
                <w:tab w:val="left" w:pos="1985"/>
                <w:tab w:val="left" w:pos="2382"/>
                <w:tab w:val="left" w:pos="2948"/>
              </w:tabs>
              <w:rPr>
                <w:rFonts w:ascii="Arial" w:hAnsi="Arial" w:cs="Arial"/>
                <w:sz w:val="21"/>
                <w:szCs w:val="21"/>
                <w:lang w:val="en-GB"/>
              </w:rPr>
            </w:pPr>
          </w:p>
          <w:p w:rsidR="00EC7849" w:rsidRPr="006C3F98" w:rsidRDefault="006C3F98" w:rsidP="00FE46DF">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w:t>
            </w:r>
          </w:p>
          <w:p w:rsidR="00712565" w:rsidRPr="00275877"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Техническое задание местного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w:t>
      </w:r>
      <w:r w:rsidR="00B85365" w:rsidRPr="00B85365">
        <w:rPr>
          <w:rFonts w:ascii="Calibri" w:eastAsia="Calibri" w:hAnsi="Calibri"/>
          <w:snapToGrid/>
          <w:sz w:val="22"/>
          <w:szCs w:val="22"/>
          <w:lang w:val="ru-RU" w:eastAsia="en-US"/>
        </w:rPr>
        <w:t xml:space="preserve"> </w:t>
      </w:r>
      <w:r w:rsidR="00B85365" w:rsidRPr="002E32FC">
        <w:rPr>
          <w:rFonts w:ascii="Calibri" w:eastAsia="Calibri" w:hAnsi="Calibri"/>
          <w:snapToGrid/>
          <w:sz w:val="22"/>
          <w:szCs w:val="22"/>
          <w:lang w:val="ru-RU" w:eastAsia="en-US"/>
        </w:rPr>
        <w:t>через Швейцарское Управление по Развитию и Сотрудничеству</w:t>
      </w:r>
      <w:r w:rsidRPr="009B7103">
        <w:rPr>
          <w:rFonts w:ascii="Calibri" w:eastAsia="Calibri" w:hAnsi="Calibri"/>
          <w:snapToGrid/>
          <w:sz w:val="22"/>
          <w:szCs w:val="22"/>
          <w:lang w:val="ru-RU" w:eastAsia="en-US"/>
        </w:rPr>
        <w:t xml:space="preserve"> 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r w:rsidR="006254CE" w:rsidRPr="009B7103">
        <w:rPr>
          <w:rFonts w:ascii="Calibri" w:eastAsia="Calibri" w:hAnsi="Calibri"/>
          <w:snapToGrid/>
          <w:sz w:val="22"/>
          <w:szCs w:val="22"/>
          <w:lang w:val="ru-RU" w:eastAsia="en-US"/>
        </w:rPr>
        <w:t>гг.</w:t>
      </w:r>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 xml:space="preserve">ных на достижение целей Проекта. В том числе Проект будет концентрировать свое внимание на </w:t>
      </w:r>
      <w:r w:rsidR="006254CE">
        <w:rPr>
          <w:rFonts w:ascii="Calibri" w:eastAsia="Calibri" w:hAnsi="Calibri"/>
          <w:snapToGrid/>
          <w:sz w:val="22"/>
          <w:szCs w:val="22"/>
          <w:lang w:val="ru-RU" w:eastAsia="en-US"/>
        </w:rPr>
        <w:t>реализацию</w:t>
      </w:r>
      <w:r w:rsidR="005376DF">
        <w:rPr>
          <w:rFonts w:ascii="Calibri" w:eastAsia="Calibri" w:hAnsi="Calibri"/>
          <w:snapToGrid/>
          <w:sz w:val="22"/>
          <w:szCs w:val="22"/>
          <w:lang w:val="ru-RU" w:eastAsia="en-US"/>
        </w:rPr>
        <w:t xml:space="preserve"> Планов действий по улучшению услуг (ПДУУ), а также на реализации грантовой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376DF">
        <w:rPr>
          <w:rFonts w:ascii="Calibri" w:eastAsia="Calibri" w:hAnsi="Calibri"/>
          <w:snapToGrid/>
          <w:sz w:val="22"/>
          <w:szCs w:val="22"/>
          <w:lang w:val="ru-RU" w:eastAsia="en-US"/>
        </w:rPr>
        <w:t xml:space="preserve">показал, что разработка ПДУУ и </w:t>
      </w:r>
      <w:r w:rsidR="000145B2">
        <w:rPr>
          <w:rFonts w:ascii="Calibri" w:eastAsia="Calibri" w:hAnsi="Calibri"/>
          <w:snapToGrid/>
          <w:sz w:val="22"/>
          <w:szCs w:val="22"/>
          <w:lang w:val="ru-RU" w:eastAsia="en-US"/>
        </w:rPr>
        <w:t>участие в грантовой программе требуют особого внимания с точки зрения обучения представителей муниципалитета и консультаций.</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 и задачи 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Цель – содействовать достижению целей Проекта</w:t>
      </w:r>
      <w:r w:rsidR="00DF375E">
        <w:rPr>
          <w:rFonts w:ascii="Calibri" w:eastAsia="Calibri" w:hAnsi="Calibri"/>
          <w:snapToGrid/>
          <w:sz w:val="22"/>
          <w:szCs w:val="22"/>
          <w:lang w:val="ru-RU" w:eastAsia="en-US"/>
        </w:rPr>
        <w:t xml:space="preserve">, направленных на повышение потенциала </w:t>
      </w:r>
      <w:r w:rsidR="000145B2">
        <w:rPr>
          <w:rFonts w:ascii="Calibri" w:eastAsia="Calibri" w:hAnsi="Calibri"/>
          <w:snapToGrid/>
          <w:sz w:val="22"/>
          <w:szCs w:val="22"/>
          <w:lang w:val="ru-RU" w:eastAsia="en-US"/>
        </w:rPr>
        <w:t>представителей муниципалитета, для эффективного планирования и реализации планов по улучшению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Задачи:</w:t>
      </w:r>
    </w:p>
    <w:p w:rsidR="009B7103" w:rsidRDefault="006254CE"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Коучинг (</w:t>
      </w:r>
      <w:r w:rsidR="00E066D5">
        <w:rPr>
          <w:rFonts w:ascii="Calibri" w:eastAsia="Calibri" w:hAnsi="Calibri"/>
          <w:snapToGrid/>
          <w:sz w:val="22"/>
          <w:szCs w:val="22"/>
          <w:lang w:val="ru-RU" w:eastAsia="en-US"/>
        </w:rPr>
        <w:t xml:space="preserve">обучение, консультация, </w:t>
      </w:r>
      <w:r>
        <w:rPr>
          <w:rFonts w:ascii="Calibri" w:eastAsia="Calibri" w:hAnsi="Calibri"/>
          <w:snapToGrid/>
          <w:sz w:val="22"/>
          <w:szCs w:val="22"/>
          <w:lang w:val="ru-RU" w:eastAsia="en-US"/>
        </w:rPr>
        <w:t>практическое сопровождение</w:t>
      </w:r>
      <w:r w:rsidR="00E066D5">
        <w:rPr>
          <w:rFonts w:ascii="Calibri" w:eastAsia="Calibri" w:hAnsi="Calibri"/>
          <w:snapToGrid/>
          <w:sz w:val="22"/>
          <w:szCs w:val="22"/>
          <w:lang w:val="ru-RU" w:eastAsia="en-US"/>
        </w:rPr>
        <w:t xml:space="preserve"> для достижения определенных результатов</w:t>
      </w:r>
      <w:r>
        <w:rPr>
          <w:rFonts w:ascii="Calibri" w:eastAsia="Calibri" w:hAnsi="Calibri"/>
          <w:snapToGrid/>
          <w:sz w:val="22"/>
          <w:szCs w:val="22"/>
          <w:lang w:val="ru-RU" w:eastAsia="en-US"/>
        </w:rPr>
        <w:t xml:space="preserve">) </w:t>
      </w:r>
      <w:r w:rsidR="00E066D5">
        <w:rPr>
          <w:rFonts w:ascii="Calibri" w:eastAsia="Calibri" w:hAnsi="Calibri"/>
          <w:snapToGrid/>
          <w:sz w:val="22"/>
          <w:szCs w:val="22"/>
          <w:lang w:val="ru-RU" w:eastAsia="en-US"/>
        </w:rPr>
        <w:t>о</w:t>
      </w:r>
      <w:r w:rsidR="000145B2" w:rsidRPr="000145B2">
        <w:rPr>
          <w:rFonts w:ascii="Calibri" w:eastAsia="Calibri" w:hAnsi="Calibri"/>
          <w:snapToGrid/>
          <w:sz w:val="22"/>
          <w:szCs w:val="22"/>
          <w:lang w:val="ru-RU" w:eastAsia="en-US"/>
        </w:rPr>
        <w:t>бучение и консультации представителей мун</w:t>
      </w:r>
      <w:r w:rsidR="00E066D5">
        <w:rPr>
          <w:rFonts w:ascii="Calibri" w:eastAsia="Calibri" w:hAnsi="Calibri"/>
          <w:snapToGrid/>
          <w:sz w:val="22"/>
          <w:szCs w:val="22"/>
          <w:lang w:val="ru-RU" w:eastAsia="en-US"/>
        </w:rPr>
        <w:t>иципалитетов по разработке ПДУУ;</w:t>
      </w:r>
    </w:p>
    <w:p w:rsidR="00E066D5" w:rsidRDefault="00E066D5"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Коучинг, обучение и консультации представителей муниципалитетов по </w:t>
      </w:r>
      <w:r w:rsidR="0032015B">
        <w:rPr>
          <w:rFonts w:ascii="Calibri" w:eastAsia="Calibri" w:hAnsi="Calibri"/>
          <w:snapToGrid/>
          <w:sz w:val="22"/>
          <w:szCs w:val="22"/>
          <w:lang w:val="ru-RU" w:eastAsia="en-US"/>
        </w:rPr>
        <w:t>реализации ПДУУ;</w:t>
      </w:r>
    </w:p>
    <w:p w:rsidR="0032015B" w:rsidRDefault="0032015B"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Коучинг, обучение и консультации представителей муниципалитетов по вопросам мониторинга (ГСМиО, методы мониторинга и оценки, внутренний мониторинг, оценка, внешний мониторинг и тд.);</w:t>
      </w:r>
    </w:p>
    <w:p w:rsidR="0032015B" w:rsidRDefault="0032015B"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Коучинг, обучение и консультации представителей муниципалитетов по вопросам </w:t>
      </w:r>
      <w:r w:rsidR="005F2B51">
        <w:rPr>
          <w:rFonts w:ascii="Calibri" w:eastAsia="Calibri" w:hAnsi="Calibri"/>
          <w:snapToGrid/>
          <w:sz w:val="22"/>
          <w:szCs w:val="22"/>
          <w:lang w:val="ru-RU" w:eastAsia="en-US"/>
        </w:rPr>
        <w:t>услуг (государственные услуги в том числе делегированные, муниципальные услуги, в том числе базовые перечень МУ и дополнительный перечень МУ, услуги в рамках ВМЗ). Коучинг по разработке доп.перечня, стандартов услуг, адмрегламента;</w:t>
      </w:r>
    </w:p>
    <w:p w:rsidR="0020697A" w:rsidRDefault="005F2B51"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Коучинг, обучение и консультации представителей муниципалитетов по вопросам расчета тарифов на оказание услуг. </w:t>
      </w:r>
    </w:p>
    <w:p w:rsidR="005F2B51" w:rsidRDefault="005F2B51"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Коучинг</w:t>
      </w:r>
      <w:r w:rsidR="0020697A">
        <w:rPr>
          <w:rFonts w:ascii="Calibri" w:eastAsia="Calibri" w:hAnsi="Calibri"/>
          <w:snapToGrid/>
          <w:sz w:val="22"/>
          <w:szCs w:val="22"/>
          <w:lang w:val="ru-RU" w:eastAsia="en-US"/>
        </w:rPr>
        <w:t>, обучение и консультации</w:t>
      </w:r>
      <w:r>
        <w:rPr>
          <w:rFonts w:ascii="Calibri" w:eastAsia="Calibri" w:hAnsi="Calibri"/>
          <w:snapToGrid/>
          <w:sz w:val="22"/>
          <w:szCs w:val="22"/>
          <w:lang w:val="ru-RU" w:eastAsia="en-US"/>
        </w:rPr>
        <w:t xml:space="preserve"> по вопросам </w:t>
      </w:r>
      <w:r w:rsidR="0020697A">
        <w:rPr>
          <w:rFonts w:ascii="Calibri" w:eastAsia="Calibri" w:hAnsi="Calibri"/>
          <w:snapToGrid/>
          <w:sz w:val="22"/>
          <w:szCs w:val="22"/>
          <w:lang w:val="ru-RU" w:eastAsia="en-US"/>
        </w:rPr>
        <w:t xml:space="preserve">развития провайдеров, коучинг по расчету </w:t>
      </w:r>
      <w:r>
        <w:rPr>
          <w:rFonts w:ascii="Calibri" w:eastAsia="Calibri" w:hAnsi="Calibri"/>
          <w:snapToGrid/>
          <w:sz w:val="22"/>
          <w:szCs w:val="22"/>
          <w:lang w:val="ru-RU" w:eastAsia="en-US"/>
        </w:rPr>
        <w:t>БОР</w:t>
      </w:r>
      <w:r w:rsidR="0020697A">
        <w:rPr>
          <w:rFonts w:ascii="Calibri" w:eastAsia="Calibri" w:hAnsi="Calibri"/>
          <w:snapToGrid/>
          <w:sz w:val="22"/>
          <w:szCs w:val="22"/>
          <w:lang w:val="ru-RU" w:eastAsia="en-US"/>
        </w:rPr>
        <w:t>. Разработка технологических карт, вопросы субсидирования;</w:t>
      </w:r>
    </w:p>
    <w:p w:rsidR="0020697A" w:rsidRDefault="0020697A"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Коучинг, обучение и консультации представителей муниципалитетов по вопросам Бюджетного кодекса, финансовой грамотности муниципалитетов, (вопросы субсидирования);</w:t>
      </w:r>
    </w:p>
    <w:p w:rsidR="000145B2" w:rsidRPr="000145B2" w:rsidRDefault="0020697A"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Коучинг, о</w:t>
      </w:r>
      <w:r w:rsidR="000145B2">
        <w:rPr>
          <w:rFonts w:ascii="Calibri" w:eastAsia="Calibri" w:hAnsi="Calibri"/>
          <w:snapToGrid/>
          <w:sz w:val="22"/>
          <w:szCs w:val="22"/>
          <w:lang w:val="ru-RU" w:eastAsia="en-US"/>
        </w:rPr>
        <w:t xml:space="preserve">бучение и консультации по </w:t>
      </w:r>
      <w:r>
        <w:rPr>
          <w:rFonts w:ascii="Calibri" w:eastAsia="Calibri" w:hAnsi="Calibri"/>
          <w:snapToGrid/>
          <w:sz w:val="22"/>
          <w:szCs w:val="22"/>
          <w:lang w:val="ru-RU" w:eastAsia="en-US"/>
        </w:rPr>
        <w:t>Государственным закупкам. П</w:t>
      </w:r>
      <w:r w:rsidR="000145B2">
        <w:rPr>
          <w:rFonts w:ascii="Calibri" w:eastAsia="Calibri" w:hAnsi="Calibri"/>
          <w:snapToGrid/>
          <w:sz w:val="22"/>
          <w:szCs w:val="22"/>
          <w:lang w:val="ru-RU" w:eastAsia="en-US"/>
        </w:rPr>
        <w:t xml:space="preserve">одготовке </w:t>
      </w:r>
      <w:r>
        <w:rPr>
          <w:rFonts w:ascii="Calibri" w:eastAsia="Calibri" w:hAnsi="Calibri"/>
          <w:snapToGrid/>
          <w:sz w:val="22"/>
          <w:szCs w:val="22"/>
          <w:lang w:val="ru-RU" w:eastAsia="en-US"/>
        </w:rPr>
        <w:t>и реализации грантов</w:t>
      </w:r>
      <w:r w:rsidR="000145B2">
        <w:rPr>
          <w:rFonts w:ascii="Calibri" w:eastAsia="Calibri" w:hAnsi="Calibri"/>
          <w:snapToGrid/>
          <w:sz w:val="22"/>
          <w:szCs w:val="22"/>
          <w:lang w:val="ru-RU" w:eastAsia="en-US"/>
        </w:rPr>
        <w:t>.</w:t>
      </w:r>
      <w:r w:rsidR="00D21696">
        <w:rPr>
          <w:rFonts w:ascii="Calibri" w:eastAsia="Calibri" w:hAnsi="Calibri"/>
          <w:snapToGrid/>
          <w:sz w:val="22"/>
          <w:szCs w:val="22"/>
          <w:lang w:val="ru-RU" w:eastAsia="en-US"/>
        </w:rPr>
        <w:t xml:space="preserve"> Подготовка описательных и финансовых отчетов по Грантовой программе.</w:t>
      </w:r>
    </w:p>
    <w:p w:rsidR="009B7103" w:rsidRDefault="00D21696" w:rsidP="00420099">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Представление Проекта на территории муниципалитета, выполнение дополнительных заданий руководства Проекта, в рамках Проекта </w:t>
      </w:r>
      <w:r>
        <w:rPr>
          <w:rFonts w:ascii="Calibri" w:eastAsia="Calibri" w:hAnsi="Calibri"/>
          <w:snapToGrid/>
          <w:sz w:val="22"/>
          <w:szCs w:val="22"/>
          <w:lang w:val="en-US" w:eastAsia="en-US"/>
        </w:rPr>
        <w:t>PSI</w:t>
      </w:r>
      <w:r w:rsidR="009B7103" w:rsidRPr="009B7103">
        <w:rPr>
          <w:rFonts w:ascii="Calibri" w:eastAsia="Calibri" w:hAnsi="Calibri"/>
          <w:snapToGrid/>
          <w:sz w:val="22"/>
          <w:szCs w:val="22"/>
          <w:lang w:val="ru-RU" w:eastAsia="en-US"/>
        </w:rPr>
        <w:t>.</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7C0EBA" w:rsidRDefault="007C0EBA" w:rsidP="007C0EBA">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Pr>
          <w:rFonts w:ascii="Calibri" w:eastAsia="Calibri" w:hAnsi="Calibri"/>
          <w:snapToGrid/>
          <w:sz w:val="22"/>
          <w:szCs w:val="22"/>
          <w:lang w:val="ru-RU" w:eastAsia="en-US"/>
        </w:rPr>
        <w:t>консультант будет осуществлять свою деятельность на территории</w:t>
      </w:r>
      <w:r w:rsidR="006C3F98">
        <w:rPr>
          <w:rFonts w:ascii="Calibri" w:eastAsia="Calibri" w:hAnsi="Calibri"/>
          <w:snapToGrid/>
          <w:sz w:val="22"/>
          <w:szCs w:val="22"/>
          <w:lang w:val="ru-RU" w:eastAsia="en-US"/>
        </w:rPr>
        <w:t xml:space="preserve"> следующих </w:t>
      </w:r>
      <w:r w:rsidR="006C3F98" w:rsidRPr="006C3F98">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муниципалитетов:</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___________________  АО ___________________ района __________________ области;</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P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9B7103" w:rsidP="00420099">
      <w:pPr>
        <w:widowControl/>
        <w:numPr>
          <w:ilvl w:val="0"/>
          <w:numId w:val="4"/>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sidRPr="009B7103">
        <w:rPr>
          <w:rFonts w:ascii="Calibri" w:eastAsia="Calibri" w:hAnsi="Calibri"/>
          <w:snapToGrid/>
          <w:sz w:val="22"/>
          <w:szCs w:val="22"/>
          <w:lang w:val="ru-RU" w:eastAsia="en-US"/>
        </w:rPr>
        <w:t>консультант по результатам своей деятельности подотчетен областному координатору Проекта.</w:t>
      </w:r>
    </w:p>
    <w:p w:rsidR="009B7103" w:rsidRDefault="000145B2"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Местный тренер-консультант</w:t>
      </w:r>
      <w:r w:rsidR="009B7103" w:rsidRPr="009B7103">
        <w:rPr>
          <w:rFonts w:ascii="Calibri" w:eastAsia="Calibri" w:hAnsi="Calibri"/>
          <w:snapToGrid/>
          <w:sz w:val="22"/>
          <w:szCs w:val="22"/>
          <w:lang w:val="ru-RU" w:eastAsia="en-US"/>
        </w:rPr>
        <w:t xml:space="preserve"> представляет отчет об исполнении мероприятий Проекта по согласованной форме областному координатору Проекта </w:t>
      </w:r>
      <w:r w:rsidR="00552A5B">
        <w:rPr>
          <w:rFonts w:ascii="Calibri" w:eastAsia="Calibri" w:hAnsi="Calibri"/>
          <w:snapToGrid/>
          <w:sz w:val="22"/>
          <w:szCs w:val="22"/>
          <w:lang w:val="ru-RU" w:eastAsia="en-US"/>
        </w:rPr>
        <w:t>ежемесячно</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Высшее образование. </w:t>
      </w: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Опыт работы или сотрудничества в неправительственном секторе или международных Проектах не менее 2 лет.</w:t>
      </w: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Опыт реализации проектов, связанных с услугами на местном уровне. </w:t>
      </w: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Опыт взаимодействия с органами МСУ. </w:t>
      </w:r>
    </w:p>
    <w:p w:rsidR="00911403" w:rsidRPr="00CE613F" w:rsidRDefault="00911403" w:rsidP="00911403">
      <w:pPr>
        <w:pStyle w:val="af1"/>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Опыт реализации грантов развития является преимуществом. </w:t>
      </w:r>
    </w:p>
    <w:p w:rsidR="00911403" w:rsidRPr="00CE613F" w:rsidRDefault="00911403" w:rsidP="00911403">
      <w:pPr>
        <w:pStyle w:val="af1"/>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 xml:space="preserve">Опыт проведения технических экспертизы и </w:t>
      </w:r>
      <w:r w:rsidRPr="00CE613F">
        <w:rPr>
          <w:rFonts w:asciiTheme="minorHAnsi" w:hAnsiTheme="minorHAnsi" w:cstheme="minorHAnsi"/>
          <w:sz w:val="22"/>
          <w:szCs w:val="22"/>
          <w:lang w:val="ru-RU" w:eastAsia="ru-RU"/>
        </w:rPr>
        <w:t>мониторинга</w:t>
      </w:r>
      <w:r w:rsidRPr="00CE613F">
        <w:rPr>
          <w:rFonts w:asciiTheme="minorHAnsi" w:hAnsiTheme="minorHAnsi" w:cstheme="minorHAnsi"/>
          <w:sz w:val="22"/>
          <w:szCs w:val="22"/>
          <w:lang w:eastAsia="ru-RU"/>
        </w:rPr>
        <w:t xml:space="preserve"> проектов </w:t>
      </w:r>
      <w:r w:rsidRPr="00CE613F">
        <w:rPr>
          <w:rFonts w:asciiTheme="minorHAnsi" w:hAnsiTheme="minorHAnsi" w:cstheme="minorHAnsi"/>
          <w:sz w:val="22"/>
          <w:szCs w:val="22"/>
          <w:lang w:val="ru-RU" w:eastAsia="ru-RU"/>
        </w:rPr>
        <w:t>является преимуществом</w:t>
      </w:r>
      <w:r w:rsidRPr="00CE613F">
        <w:rPr>
          <w:rFonts w:asciiTheme="minorHAnsi" w:hAnsiTheme="minorHAnsi" w:cstheme="minorHAnsi"/>
          <w:sz w:val="22"/>
          <w:szCs w:val="22"/>
          <w:lang w:eastAsia="ru-RU"/>
        </w:rPr>
        <w:t>.</w:t>
      </w:r>
    </w:p>
    <w:p w:rsidR="00911403" w:rsidRPr="00CE613F" w:rsidRDefault="00911403" w:rsidP="00911403">
      <w:pPr>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Опыт оказания консультационных услуг органам местного самоуправления по вопросам подготовки и реализации ПДУУ (План действий улучшения услуг).</w:t>
      </w:r>
    </w:p>
    <w:p w:rsidR="00911403" w:rsidRPr="00CE613F" w:rsidRDefault="00911403" w:rsidP="00911403">
      <w:pPr>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Знание процедур государственных закупок и способность проводить оценку тендерных документов.</w:t>
      </w:r>
    </w:p>
    <w:p w:rsidR="00911403" w:rsidRPr="00CE613F" w:rsidRDefault="00911403" w:rsidP="00911403">
      <w:pPr>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Проживание на территории Иссык-Кульской или Джалал-Абадской областей;</w:t>
      </w:r>
    </w:p>
    <w:p w:rsidR="00911403" w:rsidRPr="00CE613F" w:rsidRDefault="00911403" w:rsidP="00911403">
      <w:pPr>
        <w:pStyle w:val="af1"/>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Знание кыргызского и русского языков.</w:t>
      </w:r>
      <w:r w:rsidRPr="00CE613F">
        <w:rPr>
          <w:rFonts w:asciiTheme="minorHAnsi" w:hAnsiTheme="minorHAnsi" w:cstheme="minorHAnsi"/>
          <w:sz w:val="22"/>
          <w:szCs w:val="22"/>
          <w:lang w:eastAsia="ru-RU"/>
        </w:rPr>
        <w:t xml:space="preserve"> </w:t>
      </w:r>
    </w:p>
    <w:p w:rsidR="00730816" w:rsidRPr="00911403" w:rsidRDefault="00730816" w:rsidP="00730816">
      <w:pPr>
        <w:widowControl/>
        <w:spacing w:after="160" w:line="259" w:lineRule="auto"/>
        <w:contextualSpacing/>
        <w:rPr>
          <w:rFonts w:ascii="Calibri" w:eastAsia="Calibri" w:hAnsi="Calibri"/>
          <w:snapToGrid/>
          <w:sz w:val="22"/>
          <w:szCs w:val="22"/>
          <w:lang w:eastAsia="en-US"/>
        </w:rPr>
      </w:pPr>
    </w:p>
    <w:p w:rsidR="009B7103" w:rsidRPr="009B7103" w:rsidRDefault="009B7103" w:rsidP="009B7103">
      <w:pPr>
        <w:widowControl/>
        <w:spacing w:after="160" w:line="259" w:lineRule="auto"/>
        <w:ind w:left="720"/>
        <w:contextualSpacing/>
        <w:rPr>
          <w:rFonts w:ascii="Calibri" w:eastAsia="Calibri" w:hAnsi="Calibri"/>
          <w:snapToGrid/>
          <w:sz w:val="22"/>
          <w:szCs w:val="22"/>
          <w:lang w:val="ru-RU" w:eastAsia="en-US"/>
        </w:rPr>
      </w:pPr>
    </w:p>
    <w:p w:rsidR="00C52FC1" w:rsidRPr="009B7103" w:rsidRDefault="00C52FC1" w:rsidP="00525408">
      <w:pPr>
        <w:rPr>
          <w:rFonts w:ascii="Arial" w:hAnsi="Arial" w:cs="Arial"/>
          <w:sz w:val="21"/>
          <w:szCs w:val="21"/>
          <w:lang w:val="ru-RU"/>
        </w:rPr>
      </w:pPr>
    </w:p>
    <w:sectPr w:rsidR="00C52FC1" w:rsidRPr="009B7103"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48" w:rsidRDefault="00814D48">
      <w:pPr>
        <w:spacing w:line="20" w:lineRule="exact"/>
        <w:rPr>
          <w:sz w:val="24"/>
        </w:rPr>
      </w:pPr>
    </w:p>
  </w:endnote>
  <w:endnote w:type="continuationSeparator" w:id="0">
    <w:p w:rsidR="00814D48" w:rsidRDefault="00814D48"/>
  </w:endnote>
  <w:endnote w:type="continuationNotice" w:id="1">
    <w:p w:rsidR="00814D48" w:rsidRDefault="00814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48" w:rsidRDefault="00814D48">
      <w:r>
        <w:rPr>
          <w:sz w:val="24"/>
        </w:rPr>
        <w:separator/>
      </w:r>
    </w:p>
  </w:footnote>
  <w:footnote w:type="continuationSeparator" w:id="0">
    <w:p w:rsidR="00814D48" w:rsidRDefault="0081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A521E2">
            <w:rPr>
              <w:rFonts w:ascii="Arial" w:hAnsi="Arial" w:cs="Arial"/>
              <w:noProof/>
              <w:sz w:val="18"/>
              <w:szCs w:val="18"/>
            </w:rPr>
            <w:t>2</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82583"/>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E0B9E"/>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5173"/>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97A"/>
    <w:rsid w:val="00206CAB"/>
    <w:rsid w:val="002158C4"/>
    <w:rsid w:val="002208F3"/>
    <w:rsid w:val="00221CBB"/>
    <w:rsid w:val="00237AA9"/>
    <w:rsid w:val="002551DD"/>
    <w:rsid w:val="00264D62"/>
    <w:rsid w:val="00273A35"/>
    <w:rsid w:val="00275877"/>
    <w:rsid w:val="00283405"/>
    <w:rsid w:val="00286084"/>
    <w:rsid w:val="00290E8F"/>
    <w:rsid w:val="00292767"/>
    <w:rsid w:val="002A42D4"/>
    <w:rsid w:val="002A5F9C"/>
    <w:rsid w:val="002A7608"/>
    <w:rsid w:val="002B1046"/>
    <w:rsid w:val="002B372D"/>
    <w:rsid w:val="002B52D1"/>
    <w:rsid w:val="002C39D3"/>
    <w:rsid w:val="002C43E8"/>
    <w:rsid w:val="002D3F45"/>
    <w:rsid w:val="002D48A3"/>
    <w:rsid w:val="002D7EC4"/>
    <w:rsid w:val="002F2AF2"/>
    <w:rsid w:val="003015B7"/>
    <w:rsid w:val="0031042F"/>
    <w:rsid w:val="0032015B"/>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67CD"/>
    <w:rsid w:val="0039041C"/>
    <w:rsid w:val="003914B9"/>
    <w:rsid w:val="003B4FFB"/>
    <w:rsid w:val="003C3396"/>
    <w:rsid w:val="003D1C84"/>
    <w:rsid w:val="003D253B"/>
    <w:rsid w:val="003E5029"/>
    <w:rsid w:val="003F6A8B"/>
    <w:rsid w:val="00413931"/>
    <w:rsid w:val="00415CF8"/>
    <w:rsid w:val="00420099"/>
    <w:rsid w:val="004309E4"/>
    <w:rsid w:val="00434C0F"/>
    <w:rsid w:val="004373A9"/>
    <w:rsid w:val="00441C60"/>
    <w:rsid w:val="004536BF"/>
    <w:rsid w:val="004621C9"/>
    <w:rsid w:val="00463B83"/>
    <w:rsid w:val="004669AF"/>
    <w:rsid w:val="00481406"/>
    <w:rsid w:val="00492724"/>
    <w:rsid w:val="004B138B"/>
    <w:rsid w:val="004B2DE8"/>
    <w:rsid w:val="004B364F"/>
    <w:rsid w:val="004C36A7"/>
    <w:rsid w:val="004D3352"/>
    <w:rsid w:val="004D68F9"/>
    <w:rsid w:val="004E22D2"/>
    <w:rsid w:val="004F287C"/>
    <w:rsid w:val="004F2C7B"/>
    <w:rsid w:val="00502662"/>
    <w:rsid w:val="00505C0D"/>
    <w:rsid w:val="00522789"/>
    <w:rsid w:val="00525408"/>
    <w:rsid w:val="00527769"/>
    <w:rsid w:val="005308EF"/>
    <w:rsid w:val="005322F2"/>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6103"/>
    <w:rsid w:val="005F1F25"/>
    <w:rsid w:val="005F2B51"/>
    <w:rsid w:val="005F3832"/>
    <w:rsid w:val="0060783B"/>
    <w:rsid w:val="006239FA"/>
    <w:rsid w:val="006254CE"/>
    <w:rsid w:val="0064075D"/>
    <w:rsid w:val="00641D33"/>
    <w:rsid w:val="00644385"/>
    <w:rsid w:val="006539EC"/>
    <w:rsid w:val="006649DF"/>
    <w:rsid w:val="00670D09"/>
    <w:rsid w:val="006749F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75AE"/>
    <w:rsid w:val="007F41CD"/>
    <w:rsid w:val="007F6C2D"/>
    <w:rsid w:val="007F7D28"/>
    <w:rsid w:val="00804A25"/>
    <w:rsid w:val="00810B72"/>
    <w:rsid w:val="00813C7C"/>
    <w:rsid w:val="00814D48"/>
    <w:rsid w:val="00822EC8"/>
    <w:rsid w:val="0082713B"/>
    <w:rsid w:val="008344DD"/>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1403"/>
    <w:rsid w:val="00913425"/>
    <w:rsid w:val="00920321"/>
    <w:rsid w:val="00930220"/>
    <w:rsid w:val="0093577E"/>
    <w:rsid w:val="00940FE2"/>
    <w:rsid w:val="00942A6C"/>
    <w:rsid w:val="009452B7"/>
    <w:rsid w:val="00950A8A"/>
    <w:rsid w:val="009529A8"/>
    <w:rsid w:val="009679D1"/>
    <w:rsid w:val="00974CF3"/>
    <w:rsid w:val="00977B13"/>
    <w:rsid w:val="00991D98"/>
    <w:rsid w:val="0099481E"/>
    <w:rsid w:val="00995E5A"/>
    <w:rsid w:val="009B7103"/>
    <w:rsid w:val="009C5F9B"/>
    <w:rsid w:val="009D7BDD"/>
    <w:rsid w:val="009D7E9F"/>
    <w:rsid w:val="009E5CE0"/>
    <w:rsid w:val="00A00618"/>
    <w:rsid w:val="00A01B56"/>
    <w:rsid w:val="00A038BB"/>
    <w:rsid w:val="00A162A3"/>
    <w:rsid w:val="00A169F4"/>
    <w:rsid w:val="00A25446"/>
    <w:rsid w:val="00A31239"/>
    <w:rsid w:val="00A34D1C"/>
    <w:rsid w:val="00A376D7"/>
    <w:rsid w:val="00A46796"/>
    <w:rsid w:val="00A521E2"/>
    <w:rsid w:val="00A60ED4"/>
    <w:rsid w:val="00A65B27"/>
    <w:rsid w:val="00A70403"/>
    <w:rsid w:val="00A7606C"/>
    <w:rsid w:val="00A81AE1"/>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2DDB"/>
    <w:rsid w:val="00B723AB"/>
    <w:rsid w:val="00B75B08"/>
    <w:rsid w:val="00B84126"/>
    <w:rsid w:val="00B85365"/>
    <w:rsid w:val="00B86D7F"/>
    <w:rsid w:val="00B90F60"/>
    <w:rsid w:val="00BA4987"/>
    <w:rsid w:val="00BB7648"/>
    <w:rsid w:val="00BB7F56"/>
    <w:rsid w:val="00BC29E6"/>
    <w:rsid w:val="00BD2E07"/>
    <w:rsid w:val="00BD55F0"/>
    <w:rsid w:val="00BD6540"/>
    <w:rsid w:val="00BD7B8A"/>
    <w:rsid w:val="00BE6357"/>
    <w:rsid w:val="00BF1557"/>
    <w:rsid w:val="00C11181"/>
    <w:rsid w:val="00C11A16"/>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E613F"/>
    <w:rsid w:val="00CF04CD"/>
    <w:rsid w:val="00CF34D9"/>
    <w:rsid w:val="00D1043F"/>
    <w:rsid w:val="00D12CEA"/>
    <w:rsid w:val="00D21696"/>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D139C"/>
    <w:rsid w:val="00DD6391"/>
    <w:rsid w:val="00DD7580"/>
    <w:rsid w:val="00DE3EDC"/>
    <w:rsid w:val="00DE41DC"/>
    <w:rsid w:val="00DE69A5"/>
    <w:rsid w:val="00DF375E"/>
    <w:rsid w:val="00DF3834"/>
    <w:rsid w:val="00DF4950"/>
    <w:rsid w:val="00DF5C30"/>
    <w:rsid w:val="00DF7549"/>
    <w:rsid w:val="00E05B25"/>
    <w:rsid w:val="00E066D5"/>
    <w:rsid w:val="00E26776"/>
    <w:rsid w:val="00E30891"/>
    <w:rsid w:val="00E37E0F"/>
    <w:rsid w:val="00E4133B"/>
    <w:rsid w:val="00E418B0"/>
    <w:rsid w:val="00E46579"/>
    <w:rsid w:val="00E5300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43E3A"/>
    <w:rsid w:val="00F45485"/>
    <w:rsid w:val="00F527E7"/>
    <w:rsid w:val="00F60086"/>
    <w:rsid w:val="00F860C8"/>
    <w:rsid w:val="00FB4704"/>
    <w:rsid w:val="00FB480E"/>
    <w:rsid w:val="00FB76BE"/>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022A-7086-48AA-850F-9E9889BD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4571</Characters>
  <Application>Microsoft Office Word</Application>
  <DocSecurity>0</DocSecurity>
  <Lines>38</Lines>
  <Paragraphs>10</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cp:lastModifiedBy>
  <cp:revision>2</cp:revision>
  <cp:lastPrinted>2015-01-20T09:53:00Z</cp:lastPrinted>
  <dcterms:created xsi:type="dcterms:W3CDTF">2018-03-19T11:47:00Z</dcterms:created>
  <dcterms:modified xsi:type="dcterms:W3CDTF">2018-03-19T11:47:00Z</dcterms:modified>
</cp:coreProperties>
</file>