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D4" w:rsidRPr="00386CD7" w:rsidRDefault="002924D4" w:rsidP="00973D48">
      <w:pPr>
        <w:tabs>
          <w:tab w:val="clear" w:pos="9214"/>
        </w:tabs>
        <w:spacing w:before="0" w:line="240" w:lineRule="auto"/>
        <w:jc w:val="center"/>
        <w:rPr>
          <w:sz w:val="18"/>
          <w:szCs w:val="18"/>
          <w:lang w:val="en-US"/>
        </w:rPr>
      </w:pPr>
    </w:p>
    <w:p w:rsidR="002924D4" w:rsidRPr="00386CD7" w:rsidRDefault="002B2C78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88960" behindDoc="1" locked="0" layoutInCell="1" allowOverlap="1" wp14:anchorId="0E2C0E64" wp14:editId="4B30BCF6">
            <wp:simplePos x="0" y="0"/>
            <wp:positionH relativeFrom="column">
              <wp:posOffset>1312545</wp:posOffset>
            </wp:positionH>
            <wp:positionV relativeFrom="paragraph">
              <wp:posOffset>55245</wp:posOffset>
            </wp:positionV>
            <wp:extent cx="1546860" cy="640080"/>
            <wp:effectExtent l="0" t="0" r="0" b="0"/>
            <wp:wrapTight wrapText="bothSides">
              <wp:wrapPolygon edited="0">
                <wp:start x="9044" y="3214"/>
                <wp:lineTo x="1596" y="4500"/>
                <wp:lineTo x="798" y="12857"/>
                <wp:lineTo x="3458" y="16714"/>
                <wp:lineTo x="9044" y="18643"/>
                <wp:lineTo x="20217" y="18643"/>
                <wp:lineTo x="21015" y="7071"/>
                <wp:lineTo x="20483" y="5143"/>
                <wp:lineTo x="17557" y="3214"/>
                <wp:lineTo x="9044" y="3214"/>
              </wp:wrapPolygon>
            </wp:wrapTight>
            <wp:docPr id="3" name="Рисунок 3" descr="D:\NJ on D\SCO Nurgul\III Phase\PORTAL_Best_Practice\СОЮЗ_МСУ\Soyuz_MSU_KR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J on D\SCO Nurgul\III Phase\PORTAL_Best_Practice\СОЮЗ_МСУ\Soyuz_MSU_KR_lo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D4" w:rsidRDefault="002B2C78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  <w:r w:rsidRPr="0043616F">
        <w:rPr>
          <w:noProof/>
          <w:color w:val="595959" w:themeColor="text1" w:themeTint="A6"/>
          <w:sz w:val="14"/>
          <w:szCs w:val="14"/>
          <w:lang w:val="ru-RU" w:eastAsia="ru-RU"/>
        </w:rPr>
        <w:drawing>
          <wp:anchor distT="0" distB="0" distL="114300" distR="114300" simplePos="0" relativeHeight="251684864" behindDoc="1" locked="0" layoutInCell="1" allowOverlap="1" wp14:anchorId="242DC4A0" wp14:editId="0ADCEE1E">
            <wp:simplePos x="0" y="0"/>
            <wp:positionH relativeFrom="column">
              <wp:posOffset>2964815</wp:posOffset>
            </wp:positionH>
            <wp:positionV relativeFrom="paragraph">
              <wp:posOffset>69850</wp:posOffset>
            </wp:positionV>
            <wp:extent cx="1678940" cy="444500"/>
            <wp:effectExtent l="0" t="0" r="0" b="0"/>
            <wp:wrapTight wrapText="bothSides">
              <wp:wrapPolygon edited="0">
                <wp:start x="0" y="0"/>
                <wp:lineTo x="0" y="20366"/>
                <wp:lineTo x="21322" y="20366"/>
                <wp:lineTo x="21322" y="0"/>
                <wp:lineTo x="0" y="0"/>
              </wp:wrapPolygon>
            </wp:wrapTight>
            <wp:docPr id="10" name="Рисунок 10" descr="C:\Users\LBU\AppData\Local\Temp\Rar$DRa0.937\Kyrgyzstan web logos\HEL_Logo_3d_Kyrgyzstan_colou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U\AppData\Local\Temp\Rar$DRa0.937\Kyrgyzstan web logos\HEL_Logo_3d_Kyrgyzstan_colour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24"/>
          <w:lang w:val="ru-RU" w:eastAsia="ru-RU"/>
        </w:rPr>
        <w:drawing>
          <wp:anchor distT="0" distB="0" distL="114300" distR="114300" simplePos="0" relativeHeight="251687936" behindDoc="1" locked="0" layoutInCell="1" allowOverlap="1" wp14:anchorId="74036B0F" wp14:editId="422F1B0E">
            <wp:simplePos x="0" y="0"/>
            <wp:positionH relativeFrom="column">
              <wp:posOffset>-51435</wp:posOffset>
            </wp:positionH>
            <wp:positionV relativeFrom="paragraph">
              <wp:posOffset>7620</wp:posOffset>
            </wp:positionV>
            <wp:extent cx="1417320" cy="554355"/>
            <wp:effectExtent l="0" t="0" r="0" b="0"/>
            <wp:wrapTight wrapText="bothSides">
              <wp:wrapPolygon edited="0">
                <wp:start x="0" y="0"/>
                <wp:lineTo x="0" y="20784"/>
                <wp:lineTo x="21194" y="20784"/>
                <wp:lineTo x="21194" y="0"/>
                <wp:lineTo x="0" y="0"/>
              </wp:wrapPolygon>
            </wp:wrapTight>
            <wp:docPr id="4" name="Рисунок 4" descr="D:\Pictures\DPI_Logos_2020\Swiss_Confederation\Swiss Confeder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DPI_Logos_2020\Swiss_Confederation\Swiss Confedera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D8" w:rsidRPr="00386CD7" w:rsidRDefault="002B0EA5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 wp14:anchorId="4F726D01" wp14:editId="73CCAD94">
            <wp:simplePos x="0" y="0"/>
            <wp:positionH relativeFrom="margin">
              <wp:posOffset>4787265</wp:posOffset>
            </wp:positionH>
            <wp:positionV relativeFrom="paragraph">
              <wp:posOffset>13335</wp:posOffset>
            </wp:positionV>
            <wp:extent cx="1478280" cy="316718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28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C5" w:rsidRPr="00B257C5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2924D4" w:rsidRPr="00386CD7" w:rsidRDefault="002924D4" w:rsidP="002924D4">
      <w:pPr>
        <w:tabs>
          <w:tab w:val="clear" w:pos="9214"/>
        </w:tabs>
        <w:spacing w:before="0" w:line="240" w:lineRule="auto"/>
        <w:jc w:val="both"/>
        <w:rPr>
          <w:sz w:val="18"/>
          <w:szCs w:val="18"/>
          <w:lang w:val="en-US"/>
        </w:rPr>
      </w:pPr>
    </w:p>
    <w:p w:rsidR="00DB42B6" w:rsidRDefault="00DB42B6" w:rsidP="00DB42B6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 w:eastAsia="ru-RU"/>
        </w:rPr>
      </w:pPr>
    </w:p>
    <w:p w:rsidR="00DB42B6" w:rsidRDefault="00DB42B6" w:rsidP="00DB42B6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 w:eastAsia="ru-RU"/>
        </w:rPr>
      </w:pPr>
      <w:r w:rsidRPr="00F77977">
        <w:rPr>
          <w:rFonts w:ascii="Times New Roman" w:hAnsi="Times New Roman" w:cs="Times New Roman"/>
          <w:b/>
          <w:sz w:val="32"/>
          <w:szCs w:val="24"/>
          <w:lang w:val="ru-RU" w:eastAsia="ru-RU"/>
        </w:rPr>
        <w:t xml:space="preserve">КОНКУРС </w:t>
      </w:r>
    </w:p>
    <w:p w:rsidR="00DB42B6" w:rsidRDefault="00DB42B6" w:rsidP="00DB42B6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</w:pPr>
    </w:p>
    <w:p w:rsidR="00DB42B6" w:rsidRPr="00F77977" w:rsidRDefault="00DB42B6" w:rsidP="00DB42B6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</w:pPr>
      <w:r w:rsidRPr="00F77977"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>«</w:t>
      </w:r>
      <w:r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 xml:space="preserve">Лучшая </w:t>
      </w:r>
      <w:r w:rsidRPr="000E44BF"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>Программ</w:t>
      </w:r>
      <w:r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>а</w:t>
      </w:r>
      <w:r w:rsidRPr="000E44BF"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 xml:space="preserve"> соци</w:t>
      </w:r>
      <w:bookmarkStart w:id="0" w:name="_GoBack"/>
      <w:bookmarkEnd w:id="0"/>
      <w:r w:rsidRPr="000E44BF"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 xml:space="preserve">ально-экономического развития </w:t>
      </w:r>
      <w:r>
        <w:rPr>
          <w:rFonts w:ascii="Times New Roman" w:hAnsi="Times New Roman" w:cs="Times New Roman"/>
          <w:b/>
          <w:bCs/>
          <w:sz w:val="32"/>
          <w:szCs w:val="24"/>
          <w:lang w:val="ky-KG" w:eastAsia="ru-RU"/>
        </w:rPr>
        <w:t xml:space="preserve">муниципалитета, отражающая </w:t>
      </w:r>
      <w:r w:rsidRPr="006743F9">
        <w:rPr>
          <w:rFonts w:ascii="Times New Roman" w:hAnsi="Times New Roman" w:cs="Times New Roman"/>
          <w:b/>
          <w:bCs/>
          <w:sz w:val="32"/>
          <w:szCs w:val="24"/>
          <w:lang w:val="ky-KG" w:eastAsia="ru-RU"/>
        </w:rPr>
        <w:t>принципы социальной и гендерной чувствительности</w:t>
      </w:r>
      <w:r w:rsidRPr="000E44BF">
        <w:rPr>
          <w:rFonts w:ascii="Times New Roman" w:hAnsi="Times New Roman" w:cs="Times New Roman"/>
          <w:b/>
          <w:bCs/>
          <w:sz w:val="32"/>
          <w:szCs w:val="24"/>
          <w:lang w:val="ru-RU" w:eastAsia="ru-RU"/>
        </w:rPr>
        <w:t>»</w:t>
      </w:r>
    </w:p>
    <w:p w:rsidR="00DB42B6" w:rsidRPr="00F77977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DB42B6" w:rsidRPr="00F77977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 w:eastAsia="ru-RU"/>
        </w:rPr>
        <w:t>Союз местных самоуправлений Кыргызской Республики (далее</w:t>
      </w:r>
      <w:r w:rsidRPr="00824364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– Союз МСУ) и </w:t>
      </w:r>
      <w:r w:rsidRPr="00CF690E">
        <w:rPr>
          <w:rFonts w:ascii="Times New Roman" w:hAnsi="Times New Roman" w:cs="Times New Roman"/>
          <w:sz w:val="22"/>
          <w:szCs w:val="22"/>
          <w:lang w:val="ru-RU" w:eastAsia="ru-RU"/>
        </w:rPr>
        <w:t>Проект "Улучшение услуг на местном уровне", финансируем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ый</w:t>
      </w:r>
      <w:r w:rsidRPr="00CF690E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Правительством Швейцарии и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выполняемый</w:t>
      </w:r>
      <w:r w:rsidRPr="00CF690E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Хельветас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 </w:t>
      </w:r>
      <w:r w:rsidRPr="00CF690E">
        <w:rPr>
          <w:rFonts w:ascii="Times New Roman" w:hAnsi="Times New Roman" w:cs="Times New Roman"/>
          <w:sz w:val="22"/>
          <w:szCs w:val="22"/>
          <w:lang w:val="ru-RU" w:eastAsia="ru-RU"/>
        </w:rPr>
        <w:t>Институтом политики развития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(далее – проект УУМУ) объявляют конкурс среди </w:t>
      </w:r>
      <w:r w:rsidRPr="0049106D">
        <w:rPr>
          <w:rFonts w:ascii="Times New Roman" w:hAnsi="Times New Roman" w:cs="Times New Roman"/>
          <w:sz w:val="22"/>
          <w:szCs w:val="22"/>
          <w:lang w:val="ru-RU" w:eastAsia="ru-RU"/>
        </w:rPr>
        <w:t>пилотных муниципалитетов</w:t>
      </w:r>
      <w:r w:rsidRPr="007B591A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Джалал-Абадской и Иссык-Кульской областей на 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лучш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ую программу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муниципалитетов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(далее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-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ПСЭР)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,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отраж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ающую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принцип</w:t>
      </w: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ы</w:t>
      </w:r>
      <w:r w:rsidRPr="00464EED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 xml:space="preserve"> социальной и гендерной чувствительности.</w:t>
      </w:r>
      <w:proofErr w:type="gramEnd"/>
    </w:p>
    <w:p w:rsidR="00DB42B6" w:rsidRPr="00F77977" w:rsidRDefault="00DB42B6" w:rsidP="00DB42B6">
      <w:pPr>
        <w:keepNext/>
        <w:tabs>
          <w:tab w:val="clear" w:pos="9214"/>
        </w:tabs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Цели конкурса</w:t>
      </w:r>
    </w:p>
    <w:p w:rsidR="00DB42B6" w:rsidRPr="00F77977" w:rsidRDefault="00DB42B6" w:rsidP="00DB42B6">
      <w:pPr>
        <w:numPr>
          <w:ilvl w:val="0"/>
          <w:numId w:val="18"/>
        </w:numPr>
        <w:tabs>
          <w:tab w:val="clear" w:pos="9214"/>
        </w:tabs>
        <w:spacing w:before="0" w:after="200" w:line="24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выявить </w:t>
      </w:r>
      <w:proofErr w:type="spellStart"/>
      <w:r>
        <w:rPr>
          <w:rFonts w:ascii="Times New Roman" w:hAnsi="Times New Roman" w:cs="Times New Roman"/>
          <w:sz w:val="22"/>
          <w:szCs w:val="22"/>
          <w:lang w:val="ru-RU" w:eastAsia="ru-RU"/>
        </w:rPr>
        <w:t>ПСЭРы</w:t>
      </w:r>
      <w:proofErr w:type="spellEnd"/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муниципалитетов 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по р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азвит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ию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территории</w:t>
      </w:r>
      <w:r w:rsidRPr="00464E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и улучшению условий жизни, которые наилучшим образом отражают принципы социальной и гендерной чувствительности (далее – СГЧ)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; </w:t>
      </w:r>
    </w:p>
    <w:p w:rsidR="00DB42B6" w:rsidRPr="00F77977" w:rsidRDefault="00DB42B6" w:rsidP="00DB42B6">
      <w:pPr>
        <w:numPr>
          <w:ilvl w:val="0"/>
          <w:numId w:val="18"/>
        </w:numPr>
        <w:tabs>
          <w:tab w:val="clear" w:pos="9214"/>
        </w:tabs>
        <w:spacing w:before="0" w:after="200" w:line="24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стимулировать органы МСУ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, активных членов сообщества и членов рабочих групп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обмениваться опытом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внедрения принципов СГЧ в ПСЭР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; </w:t>
      </w:r>
    </w:p>
    <w:p w:rsidR="00DB42B6" w:rsidRPr="00F77977" w:rsidRDefault="00DB42B6" w:rsidP="00DB42B6">
      <w:pPr>
        <w:numPr>
          <w:ilvl w:val="0"/>
          <w:numId w:val="18"/>
        </w:numPr>
        <w:tabs>
          <w:tab w:val="clear" w:pos="9214"/>
        </w:tabs>
        <w:spacing w:before="0" w:after="200" w:line="24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способствовать распространению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инновационн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ых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социальн</w:t>
      </w:r>
      <w:proofErr w:type="gramStart"/>
      <w:r>
        <w:rPr>
          <w:rFonts w:ascii="Times New Roman" w:hAnsi="Times New Roman" w:cs="Times New Roman"/>
          <w:sz w:val="22"/>
          <w:szCs w:val="22"/>
          <w:lang w:val="ru-RU" w:eastAsia="ru-RU"/>
        </w:rPr>
        <w:t>о-</w:t>
      </w:r>
      <w:proofErr w:type="gramEnd"/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и гендерно- чувствительных мер в сфере предоставления услуг на местном уровне, отраженных в ПСЭР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. 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Организаторы конкурса</w:t>
      </w:r>
    </w:p>
    <w:p w:rsidR="00DB42B6" w:rsidRPr="00F77977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Союз местных самоуправлений КР (Союз МСУ)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и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Проект У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УМУ.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Участники конкурса</w:t>
      </w:r>
    </w:p>
    <w:p w:rsidR="00DB42B6" w:rsidRPr="00F77977" w:rsidRDefault="00DB42B6" w:rsidP="00DB42B6">
      <w:pPr>
        <w:numPr>
          <w:ilvl w:val="0"/>
          <w:numId w:val="8"/>
        </w:numPr>
        <w:tabs>
          <w:tab w:val="clear" w:pos="9214"/>
        </w:tabs>
        <w:spacing w:before="0" w:after="200" w:line="24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>26 пилотных муниципалитетов проекта УУМУ и 21 пилотный муниципалитет Союза МСУ (Джалал-Абадская и Иссык-Кульская области)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Период проведения конкурса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С 1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6 февр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а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л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я по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31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марта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202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2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года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Прием заявок: с 16 февраля по 16 марта 2022. 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Работа конкурсной комиссии и подведение итогов: с 17 марта по 30 марта. </w:t>
      </w:r>
    </w:p>
    <w:p w:rsidR="00DB42B6" w:rsidRPr="00F77977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>Объявление победителей: 31 марта 2022 года.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Порядок участия в конкурсе</w:t>
      </w:r>
    </w:p>
    <w:p w:rsidR="00DB42B6" w:rsidRPr="00464EED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Для участия в конкурсе необходимо прислать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конкурсную заявку: 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письмо заинтересованности от 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соответствующего 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ОМСУ, 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с приложением копий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следующи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х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документ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ов</w:t>
      </w:r>
      <w:r w:rsidRPr="00464EED">
        <w:rPr>
          <w:rFonts w:ascii="Times New Roman" w:hAnsi="Times New Roman" w:cs="Times New Roman"/>
          <w:bCs/>
          <w:sz w:val="22"/>
          <w:szCs w:val="22"/>
          <w:lang w:val="ru-RU" w:eastAsia="ru-RU"/>
        </w:rPr>
        <w:t>:</w:t>
      </w:r>
      <w:proofErr w:type="gramEnd"/>
    </w:p>
    <w:p w:rsidR="00DB42B6" w:rsidRPr="00EA5F4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ПСЭР, отражающая принципы СГЧ, а также перечень мер, направленных на повышение СГЧ </w:t>
      </w:r>
      <w:r w:rsidRPr="00EA5F46">
        <w:rPr>
          <w:rFonts w:ascii="Times New Roman" w:hAnsi="Times New Roman" w:cs="Times New Roman"/>
          <w:bCs/>
          <w:sz w:val="22"/>
          <w:szCs w:val="22"/>
          <w:lang w:val="ru-RU" w:eastAsia="ru-RU"/>
        </w:rPr>
        <w:t>ПСЭР (форма прилагается).</w:t>
      </w:r>
    </w:p>
    <w:p w:rsidR="00DB42B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Постановление местного кенеша об утверждении ПСЭР</w:t>
      </w:r>
      <w:r w:rsidRPr="00292576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с СГЧ аспектами.</w:t>
      </w:r>
    </w:p>
    <w:p w:rsidR="00DB42B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lastRenderedPageBreak/>
        <w:t>Приказ айыл окмоту о создании рабочей группы; список и качественный состав рабочей группы; план работы РГ.</w:t>
      </w:r>
    </w:p>
    <w:p w:rsidR="00DB42B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Протокол сходов,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фокус-групп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по изучению потребностей населения, в том числе женщин, молодежи, уязвимых групп, этнических меньшинств и т.д.</w:t>
      </w:r>
    </w:p>
    <w:p w:rsidR="00DB42B6" w:rsidRPr="00BA06DB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Дополнительный перечень муниципальных услуг, п</w:t>
      </w:r>
      <w:r w:rsidRPr="00BA06DB">
        <w:rPr>
          <w:rFonts w:ascii="Times New Roman" w:hAnsi="Times New Roman" w:cs="Times New Roman"/>
          <w:bCs/>
          <w:sz w:val="22"/>
          <w:szCs w:val="22"/>
          <w:lang w:val="ru-RU" w:eastAsia="ru-RU"/>
        </w:rPr>
        <w:t>остановление местного кенеша об утверждении дополнительного перечня муниципальных услуг;</w:t>
      </w:r>
    </w:p>
    <w:p w:rsidR="00DB42B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Протокол общественного слушания по обсуждению проекта ПСЭР; список и качественный состав участников слушания; 2-3 фото.</w:t>
      </w:r>
    </w:p>
    <w:p w:rsidR="00DB42B6" w:rsidRDefault="00DB42B6" w:rsidP="00DB42B6">
      <w:pPr>
        <w:pStyle w:val="a7"/>
        <w:numPr>
          <w:ilvl w:val="0"/>
          <w:numId w:val="17"/>
        </w:numPr>
        <w:tabs>
          <w:tab w:val="clear" w:pos="9214"/>
        </w:tabs>
        <w:spacing w:before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Утвержденный бюджет на 2022 г., а также таблица с указанием сумм, направленных на реализацию СГЧ-аспектов в ПСЭР и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МРУ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(форма прилагается).</w:t>
      </w:r>
    </w:p>
    <w:p w:rsidR="00DB42B6" w:rsidRPr="00F77977" w:rsidRDefault="00DB42B6" w:rsidP="00DB42B6">
      <w:pPr>
        <w:keepNext/>
        <w:tabs>
          <w:tab w:val="clear" w:pos="9214"/>
        </w:tabs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Конкурсная комиссия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Состав конкурсной комиссии (всего 7 человек):</w:t>
      </w:r>
    </w:p>
    <w:p w:rsidR="00DB42B6" w:rsidRDefault="00DB42B6" w:rsidP="00DB42B6">
      <w:pPr>
        <w:pStyle w:val="a7"/>
        <w:numPr>
          <w:ilvl w:val="0"/>
          <w:numId w:val="8"/>
        </w:numPr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1 представитель 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>Союза МСУ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;</w:t>
      </w:r>
    </w:p>
    <w:p w:rsidR="00DB42B6" w:rsidRDefault="00DB42B6" w:rsidP="00DB42B6">
      <w:pPr>
        <w:pStyle w:val="a7"/>
        <w:numPr>
          <w:ilvl w:val="0"/>
          <w:numId w:val="8"/>
        </w:numPr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1 представитель 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>Государственно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го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агентств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а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по делам государственной службы и местного самоуправления при Кабинете Министров Кыргызской Республики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(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>ГАГСМС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У)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(по согласованию)</w:t>
      </w:r>
    </w:p>
    <w:p w:rsidR="00DB42B6" w:rsidRDefault="00DB42B6" w:rsidP="00DB42B6">
      <w:pPr>
        <w:pStyle w:val="a7"/>
        <w:numPr>
          <w:ilvl w:val="0"/>
          <w:numId w:val="8"/>
        </w:numPr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1 представитель 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>А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кадемии местного управления Центральной Азии (А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>МУЦА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)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(по согласованию)</w:t>
      </w:r>
    </w:p>
    <w:p w:rsidR="00DB42B6" w:rsidRDefault="00DB42B6" w:rsidP="00DB42B6">
      <w:pPr>
        <w:pStyle w:val="a7"/>
        <w:numPr>
          <w:ilvl w:val="0"/>
          <w:numId w:val="8"/>
        </w:numPr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2 представителя 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Проекта УУМУ. </w:t>
      </w:r>
    </w:p>
    <w:p w:rsidR="00DB42B6" w:rsidRDefault="00DB42B6" w:rsidP="00DB42B6">
      <w:pPr>
        <w:pStyle w:val="a7"/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К работе комиссии также могут привлекаться независимые эксперты</w:t>
      </w:r>
      <w:r w:rsidRPr="008E7705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. </w:t>
      </w:r>
    </w:p>
    <w:p w:rsidR="00DB42B6" w:rsidRPr="008E7705" w:rsidRDefault="00DB42B6" w:rsidP="00DB42B6">
      <w:pPr>
        <w:pStyle w:val="a7"/>
        <w:tabs>
          <w:tab w:val="clear" w:pos="9214"/>
        </w:tabs>
        <w:spacing w:before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Секретарем конкурсной комиссии является представитель Проекта УУМУ.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 w:rsidRPr="00F77977"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  <w:t>Порядок проведения конкурса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По истечении срока объявленного конкурса Проект УУМУ рассылает членам конкурсной комиссии конкурсные документы, а также </w:t>
      </w:r>
      <w:r w:rsidRPr="001F38A4">
        <w:rPr>
          <w:rFonts w:ascii="Times New Roman" w:hAnsi="Times New Roman" w:cs="Times New Roman"/>
          <w:bCs/>
          <w:sz w:val="22"/>
          <w:szCs w:val="22"/>
          <w:lang w:val="ru-RU" w:eastAsia="ru-RU"/>
        </w:rPr>
        <w:t>критерии оценки для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предварительного рассмотрения. </w:t>
      </w:r>
    </w:p>
    <w:p w:rsidR="00DB42B6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Члены комиссии рассматривают предоставленные документы.</w:t>
      </w:r>
    </w:p>
    <w:p w:rsidR="00DB42B6" w:rsidRPr="00F77977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Проект УУМУ организует заседание конкурсной комиссии по оценке полученных документов и определению победителей конкурса</w:t>
      </w:r>
      <w:r w:rsidRPr="00F77977">
        <w:rPr>
          <w:rFonts w:ascii="Times New Roman" w:hAnsi="Times New Roman" w:cs="Times New Roman"/>
          <w:bCs/>
          <w:sz w:val="22"/>
          <w:szCs w:val="22"/>
          <w:lang w:val="ru-RU" w:eastAsia="ru-RU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Члены конкурсной комиссии заполняют индивидуальные листы оценки представленных конкурсных документов в соответствии с установленными критериями, а затем суммируют баллы для каждого ОМСУ. </w:t>
      </w:r>
    </w:p>
    <w:p w:rsidR="00DB42B6" w:rsidRPr="00F77977" w:rsidRDefault="00DB42B6" w:rsidP="00DB42B6">
      <w:pPr>
        <w:tabs>
          <w:tab w:val="clear" w:pos="921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Далее к</w:t>
      </w:r>
      <w:r w:rsidRPr="00F77977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онкурсная комиссия рассматривает </w:t>
      </w:r>
      <w:r>
        <w:rPr>
          <w:rFonts w:ascii="Times New Roman" w:hAnsi="Times New Roman" w:cs="Times New Roman"/>
          <w:bCs/>
          <w:sz w:val="22"/>
          <w:szCs w:val="22"/>
          <w:lang w:val="ru-RU" w:eastAsia="ru-RU"/>
        </w:rPr>
        <w:t>рейтинг баллов и на его основе принимает финальное решение</w:t>
      </w:r>
      <w:r w:rsidRPr="00F77977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о распределении призовых мест. </w:t>
      </w:r>
    </w:p>
    <w:p w:rsidR="00DB42B6" w:rsidRPr="00F77977" w:rsidRDefault="00DB42B6" w:rsidP="00DB42B6">
      <w:pPr>
        <w:keepNext/>
        <w:tabs>
          <w:tab w:val="clear" w:pos="9214"/>
        </w:tabs>
        <w:spacing w:before="36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32"/>
          <w:lang w:val="ky-KG" w:eastAsia="ru-RU"/>
        </w:rPr>
        <w:t>Призовой фонд</w:t>
      </w:r>
    </w:p>
    <w:p w:rsidR="00DB42B6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Призовой фонд для органов МСУ предоставляется Проектом У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УМУ</w:t>
      </w:r>
      <w:r w:rsidRPr="00F77977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Он составл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яет 550 000 сомов и будет распределен следующим образом:</w:t>
      </w:r>
    </w:p>
    <w:p w:rsidR="00DB42B6" w:rsidRPr="00F77977" w:rsidRDefault="00DB42B6" w:rsidP="00DB42B6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42B6" w:rsidRPr="00F77977" w:rsidRDefault="00DB42B6" w:rsidP="00DB42B6">
      <w:pPr>
        <w:numPr>
          <w:ilvl w:val="0"/>
          <w:numId w:val="7"/>
        </w:numPr>
        <w:tabs>
          <w:tab w:val="clear" w:pos="9214"/>
        </w:tabs>
        <w:spacing w:before="0" w:after="200" w:line="240" w:lineRule="auto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F77977">
        <w:rPr>
          <w:rFonts w:ascii="Times New Roman" w:hAnsi="Times New Roman" w:cs="Times New Roman"/>
          <w:sz w:val="22"/>
          <w:szCs w:val="22"/>
          <w:lang w:val="en-US" w:eastAsia="en-US"/>
        </w:rPr>
        <w:t>I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место –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сертификат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на сумму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200 000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сомов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для приобретения товарного приза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>;</w:t>
      </w:r>
    </w:p>
    <w:p w:rsidR="00DB42B6" w:rsidRDefault="00DB42B6" w:rsidP="00DB42B6">
      <w:pPr>
        <w:numPr>
          <w:ilvl w:val="0"/>
          <w:numId w:val="7"/>
        </w:numPr>
        <w:tabs>
          <w:tab w:val="clear" w:pos="9214"/>
        </w:tabs>
        <w:spacing w:before="0" w:after="200" w:line="240" w:lineRule="auto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F77977">
        <w:rPr>
          <w:rFonts w:ascii="Times New Roman" w:hAnsi="Times New Roman" w:cs="Times New Roman"/>
          <w:sz w:val="22"/>
          <w:szCs w:val="22"/>
          <w:lang w:val="en-US" w:eastAsia="en-US"/>
        </w:rPr>
        <w:t>II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место –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сертификат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на сумму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150 000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сомов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для приобретения товарного приза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>;</w:t>
      </w:r>
    </w:p>
    <w:p w:rsidR="00DB42B6" w:rsidRPr="00823142" w:rsidRDefault="00DB42B6" w:rsidP="00DB42B6">
      <w:pPr>
        <w:numPr>
          <w:ilvl w:val="0"/>
          <w:numId w:val="7"/>
        </w:numPr>
        <w:tabs>
          <w:tab w:val="clear" w:pos="9214"/>
        </w:tabs>
        <w:spacing w:before="0" w:after="200" w:line="240" w:lineRule="auto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823142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III место –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сертификат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на сумму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100 000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сомов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для приобретения товарного приза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>;</w:t>
      </w:r>
    </w:p>
    <w:p w:rsidR="00DB42B6" w:rsidRDefault="00DB42B6" w:rsidP="00DB42B6">
      <w:pPr>
        <w:numPr>
          <w:ilvl w:val="0"/>
          <w:numId w:val="7"/>
        </w:numPr>
        <w:tabs>
          <w:tab w:val="clear" w:pos="9214"/>
        </w:tabs>
        <w:spacing w:before="0" w:after="200" w:line="240" w:lineRule="auto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>поощрительны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е призы на общую сумму 100 000 сомов.</w:t>
      </w:r>
      <w:r w:rsidRPr="00F77977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</w:p>
    <w:p w:rsidR="00DB42B6" w:rsidRDefault="00DB42B6" w:rsidP="00DB42B6">
      <w:pPr>
        <w:tabs>
          <w:tab w:val="clear" w:pos="9214"/>
        </w:tabs>
        <w:spacing w:before="0" w:after="20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>Призовые средства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должны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быть использованы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рганами МСУ для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поддержки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 xml:space="preserve">реализации мер ПСЭР по обеспечению принципов СГЧ. </w:t>
      </w:r>
      <w:r w:rsidRPr="004E5B5B">
        <w:rPr>
          <w:rFonts w:ascii="Times New Roman" w:hAnsi="Times New Roman" w:cs="Times New Roman"/>
          <w:sz w:val="22"/>
          <w:szCs w:val="22"/>
          <w:lang w:val="ru-RU"/>
        </w:rPr>
        <w:t>На сумму приза организаторы приобретут и передадут органу МСУ товары и услуги, согласно перечню, предоставленному органом МСУ</w:t>
      </w:r>
      <w:r>
        <w:rPr>
          <w:rFonts w:ascii="Times New Roman" w:hAnsi="Times New Roman" w:cs="Times New Roman"/>
          <w:sz w:val="22"/>
          <w:szCs w:val="22"/>
          <w:lang w:val="ru-RU"/>
        </w:rPr>
        <w:t>, занявшим призовое место в конкурсе</w:t>
      </w:r>
      <w:r w:rsidRPr="004E5B5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4E5B5B">
        <w:rPr>
          <w:rFonts w:ascii="Times New Roman" w:hAnsi="Times New Roman" w:cs="Times New Roman"/>
          <w:sz w:val="22"/>
          <w:szCs w:val="22"/>
          <w:lang w:val="ru-RU"/>
        </w:rPr>
        <w:t xml:space="preserve">ризовые средства не могут быть </w:t>
      </w:r>
      <w:r>
        <w:rPr>
          <w:rFonts w:ascii="Times New Roman" w:hAnsi="Times New Roman" w:cs="Times New Roman"/>
          <w:sz w:val="22"/>
          <w:szCs w:val="22"/>
          <w:lang w:val="ru-RU"/>
        </w:rPr>
        <w:t>направлены на</w:t>
      </w:r>
      <w:r w:rsidRPr="004E5B5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>строительно-ремонтные работы, оплат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у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труда или поездок.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t>Организаторы оставляют за собой право не использовать весь призовой фонд конкурса.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DB42B6" w:rsidRPr="004E5B5B" w:rsidRDefault="00DB42B6" w:rsidP="00DB42B6">
      <w:pPr>
        <w:tabs>
          <w:tab w:val="clear" w:pos="9214"/>
        </w:tabs>
        <w:spacing w:before="0" w:after="20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E5B5B">
        <w:rPr>
          <w:rFonts w:ascii="Times New Roman" w:hAnsi="Times New Roman" w:cs="Times New Roman"/>
          <w:sz w:val="22"/>
          <w:szCs w:val="22"/>
          <w:lang w:val="ru-RU" w:eastAsia="ru-RU"/>
        </w:rPr>
        <w:lastRenderedPageBreak/>
        <w:t>Победителям конкурса будет предоставлено право вести переговоры с Организаторами по использованию призового фонда. Закупка производится Организаторами с участием представителя победителя и передается в пользование победителю. В случае использования средств на проведение мероприятия или проведения акций, Проект покрывает напрямую все затраты в рамках суммы приза.</w:t>
      </w:r>
    </w:p>
    <w:p w:rsidR="00DB42B6" w:rsidRPr="00823142" w:rsidRDefault="00DB42B6" w:rsidP="00DB42B6">
      <w:pPr>
        <w:tabs>
          <w:tab w:val="clear" w:pos="9214"/>
        </w:tabs>
        <w:spacing w:before="0" w:after="200" w:line="240" w:lineRule="auto"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DB42B6" w:rsidRPr="00F77977" w:rsidRDefault="00DB42B6" w:rsidP="00DB42B6">
      <w:pPr>
        <w:keepNext/>
        <w:tabs>
          <w:tab w:val="clear" w:pos="9214"/>
        </w:tabs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32"/>
          <w:lang w:val="x-none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32"/>
          <w:lang w:val="ru-RU" w:eastAsia="ru-RU"/>
        </w:rPr>
        <w:t>Сроки и условия подачи заявок на участие в конкурсе</w:t>
      </w:r>
    </w:p>
    <w:p w:rsidR="00DB42B6" w:rsidRDefault="00DB42B6" w:rsidP="00DB42B6">
      <w:pPr>
        <w:tabs>
          <w:tab w:val="clear" w:pos="9214"/>
        </w:tabs>
        <w:spacing w:before="0" w:after="20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 w:rsidRPr="00823142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Заинтересованным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ОМСУ</w:t>
      </w:r>
      <w:r w:rsidRPr="00823142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необходимо представить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отсканированную конкурсную заявку с полным пакетом документов</w:t>
      </w:r>
      <w:r w:rsidRPr="00823142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на электронную почту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hyperlink r:id="rId10" w:history="1"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en-US" w:eastAsia="en-US"/>
          </w:rPr>
          <w:t>altynai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ru-RU" w:eastAsia="en-US"/>
          </w:rPr>
          <w:t>.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en-US" w:eastAsia="en-US"/>
          </w:rPr>
          <w:t>moldoeva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ru-RU" w:eastAsia="en-US"/>
          </w:rPr>
          <w:t>@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en-US" w:eastAsia="en-US"/>
          </w:rPr>
          <w:t>helvetas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ru-RU" w:eastAsia="en-US"/>
          </w:rPr>
          <w:t>.</w:t>
        </w:r>
        <w:r w:rsidRPr="005952EA">
          <w:rPr>
            <w:rStyle w:val="a4"/>
            <w:rFonts w:ascii="Times New Roman" w:hAnsi="Times New Roman" w:cs="Times New Roman"/>
            <w:sz w:val="22"/>
            <w:szCs w:val="22"/>
            <w:lang w:val="en-US" w:eastAsia="en-US"/>
          </w:rPr>
          <w:t>org</w:t>
        </w:r>
      </w:hyperlink>
      <w:r w:rsidRPr="00B67CAA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B257C5">
        <w:rPr>
          <w:rFonts w:ascii="Times New Roman" w:hAnsi="Times New Roman" w:cs="Times New Roman"/>
          <w:b/>
          <w:sz w:val="22"/>
          <w:szCs w:val="22"/>
          <w:lang w:val="ru-RU" w:eastAsia="en-US"/>
        </w:rPr>
        <w:t>не позднее 17</w:t>
      </w:r>
      <w:r w:rsidRPr="00B257C5">
        <w:rPr>
          <w:rFonts w:ascii="Times New Roman" w:hAnsi="Times New Roman" w:cs="Times New Roman"/>
          <w:b/>
          <w:sz w:val="22"/>
          <w:szCs w:val="22"/>
          <w:lang w:val="ky-KG" w:eastAsia="en-US"/>
        </w:rPr>
        <w:t>:00</w:t>
      </w:r>
      <w:r w:rsidR="00B257C5" w:rsidRPr="00B257C5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 ч.</w:t>
      </w:r>
      <w:r w:rsidRPr="00B257C5">
        <w:rPr>
          <w:rFonts w:ascii="Times New Roman" w:hAnsi="Times New Roman" w:cs="Times New Roman"/>
          <w:b/>
          <w:sz w:val="22"/>
          <w:szCs w:val="22"/>
          <w:lang w:val="ky-KG" w:eastAsia="en-US"/>
        </w:rPr>
        <w:t xml:space="preserve"> </w:t>
      </w:r>
      <w:r w:rsidRPr="00B257C5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16 </w:t>
      </w:r>
      <w:r w:rsidRPr="00B257C5">
        <w:rPr>
          <w:rFonts w:ascii="Times New Roman" w:hAnsi="Times New Roman" w:cs="Times New Roman"/>
          <w:b/>
          <w:sz w:val="22"/>
          <w:szCs w:val="22"/>
          <w:lang w:val="ky-KG" w:eastAsia="en-US"/>
        </w:rPr>
        <w:t xml:space="preserve">марта </w:t>
      </w:r>
      <w:r w:rsidRPr="00B257C5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2022 г. с пометкой «На конкурс» </w:t>
      </w:r>
      <w:r>
        <w:rPr>
          <w:rFonts w:ascii="Times New Roman" w:hAnsi="Times New Roman" w:cs="Times New Roman"/>
          <w:sz w:val="22"/>
          <w:szCs w:val="22"/>
          <w:lang w:val="ru-RU" w:eastAsia="en-US"/>
        </w:rPr>
        <w:t>либо в бумажном варианте в региональные офисы Проекта по следующим адресам: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105"/>
      </w:tblGrid>
      <w:tr w:rsidR="00DB42B6" w:rsidRPr="00B257C5" w:rsidTr="00B6139D">
        <w:tc>
          <w:tcPr>
            <w:tcW w:w="4248" w:type="dxa"/>
          </w:tcPr>
          <w:p w:rsidR="00DB42B6" w:rsidRDefault="00DB42B6" w:rsidP="00B6139D">
            <w:pPr>
              <w:tabs>
                <w:tab w:val="clear" w:pos="9214"/>
              </w:tabs>
              <w:spacing w:before="0" w:after="20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E44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г. Каракол</w:t>
            </w:r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ул. </w:t>
            </w:r>
            <w:proofErr w:type="spellStart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Алыбакова</w:t>
            </w:r>
            <w:proofErr w:type="spellEnd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136 </w:t>
            </w:r>
          </w:p>
          <w:p w:rsidR="00DB42B6" w:rsidRDefault="00DB42B6" w:rsidP="00B6139D">
            <w:pPr>
              <w:tabs>
                <w:tab w:val="clear" w:pos="9214"/>
              </w:tabs>
              <w:spacing w:before="0" w:after="20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2- этаж, гостиница “</w:t>
            </w:r>
            <w:proofErr w:type="spellStart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Ысык-Ата</w:t>
            </w:r>
            <w:proofErr w:type="spellEnd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”</w:t>
            </w:r>
          </w:p>
          <w:p w:rsidR="00DB42B6" w:rsidRPr="000D4F3A" w:rsidRDefault="00DB42B6" w:rsidP="00B6139D">
            <w:pP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Моб: 0770 800 795</w:t>
            </w:r>
          </w:p>
          <w:p w:rsidR="00DB42B6" w:rsidRPr="000D4F3A" w:rsidRDefault="00DB42B6" w:rsidP="00B6139D">
            <w:pP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proofErr w:type="spellStart"/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Зулайка</w:t>
            </w:r>
            <w:proofErr w:type="spellEnd"/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Жаманкулова</w:t>
            </w:r>
            <w:proofErr w:type="spellEnd"/>
          </w:p>
          <w:p w:rsidR="00DB42B6" w:rsidRDefault="00DB42B6" w:rsidP="00B6139D">
            <w:pPr>
              <w:tabs>
                <w:tab w:val="clear" w:pos="9214"/>
              </w:tabs>
              <w:spacing w:before="0" w:after="20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</w:tcPr>
          <w:p w:rsidR="00DB42B6" w:rsidRPr="000E44BF" w:rsidRDefault="00DB42B6" w:rsidP="00B6139D">
            <w:pPr>
              <w:tabs>
                <w:tab w:val="clear" w:pos="9214"/>
              </w:tabs>
              <w:spacing w:before="0" w:after="20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4105" w:type="dxa"/>
          </w:tcPr>
          <w:p w:rsidR="00DB42B6" w:rsidRDefault="00DB42B6" w:rsidP="00B6139D">
            <w:pPr>
              <w:tabs>
                <w:tab w:val="clear" w:pos="9214"/>
              </w:tabs>
              <w:spacing w:before="0" w:after="20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E44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г. </w:t>
            </w:r>
            <w:proofErr w:type="spellStart"/>
            <w:r w:rsidRPr="000E44B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Жалал-Абад</w:t>
            </w:r>
            <w:proofErr w:type="spellEnd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ул. </w:t>
            </w:r>
            <w:proofErr w:type="spellStart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Абдырахманова</w:t>
            </w:r>
            <w:proofErr w:type="spellEnd"/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д.9</w:t>
            </w:r>
          </w:p>
          <w:p w:rsidR="00DB42B6" w:rsidRDefault="00DB42B6" w:rsidP="00B6139D">
            <w:pPr>
              <w:tabs>
                <w:tab w:val="clear" w:pos="9214"/>
              </w:tabs>
              <w:spacing w:before="0" w:after="20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 эта</w:t>
            </w:r>
            <w:r w:rsidRPr="000E44BF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, </w:t>
            </w:r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Офис Хельветас</w:t>
            </w:r>
          </w:p>
          <w:p w:rsidR="00DB42B6" w:rsidRPr="000D4F3A" w:rsidRDefault="00DB42B6" w:rsidP="00B6139D">
            <w:pP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0D4F3A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Моб: 0770 771 911</w:t>
            </w:r>
          </w:p>
          <w:p w:rsidR="00DB42B6" w:rsidRDefault="00B257C5" w:rsidP="00B257C5">
            <w:pP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Эмилбек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Алыбаев</w:t>
            </w:r>
          </w:p>
        </w:tc>
      </w:tr>
    </w:tbl>
    <w:p w:rsidR="00B257C5" w:rsidRDefault="00B257C5" w:rsidP="00B257C5">
      <w:pPr>
        <w:tabs>
          <w:tab w:val="clear" w:pos="9214"/>
        </w:tabs>
        <w:spacing w:before="0" w:line="240" w:lineRule="auto"/>
        <w:rPr>
          <w:rFonts w:ascii="Calibri" w:eastAsia="Calibri" w:hAnsi="Calibri" w:cs="Times New Roman"/>
          <w:b/>
          <w:sz w:val="22"/>
          <w:szCs w:val="22"/>
          <w:lang w:val="ru-RU" w:eastAsia="en-US"/>
        </w:rPr>
      </w:pPr>
    </w:p>
    <w:sectPr w:rsidR="00B257C5" w:rsidSect="002B0EA5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clip_image001"/>
      </v:shape>
    </w:pict>
  </w:numPicBullet>
  <w:abstractNum w:abstractNumId="0">
    <w:nsid w:val="002A0A6A"/>
    <w:multiLevelType w:val="hybridMultilevel"/>
    <w:tmpl w:val="56A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60A"/>
    <w:multiLevelType w:val="hybridMultilevel"/>
    <w:tmpl w:val="ABD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314B"/>
    <w:multiLevelType w:val="hybridMultilevel"/>
    <w:tmpl w:val="CA0A56A4"/>
    <w:lvl w:ilvl="0" w:tplc="C884289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BC694E"/>
    <w:multiLevelType w:val="hybridMultilevel"/>
    <w:tmpl w:val="406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4E53"/>
    <w:multiLevelType w:val="hybridMultilevel"/>
    <w:tmpl w:val="367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5C75"/>
    <w:multiLevelType w:val="hybridMultilevel"/>
    <w:tmpl w:val="9BDA82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138F8"/>
    <w:multiLevelType w:val="hybridMultilevel"/>
    <w:tmpl w:val="E7E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3916"/>
    <w:multiLevelType w:val="hybridMultilevel"/>
    <w:tmpl w:val="EDC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42CF"/>
    <w:multiLevelType w:val="hybridMultilevel"/>
    <w:tmpl w:val="0D7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7205"/>
    <w:multiLevelType w:val="hybridMultilevel"/>
    <w:tmpl w:val="FEF22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C10A7A"/>
    <w:multiLevelType w:val="hybridMultilevel"/>
    <w:tmpl w:val="24A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1EA1"/>
    <w:multiLevelType w:val="hybridMultilevel"/>
    <w:tmpl w:val="6F6E5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9B3ED9"/>
    <w:multiLevelType w:val="hybridMultilevel"/>
    <w:tmpl w:val="7FEC2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7380E31"/>
    <w:multiLevelType w:val="hybridMultilevel"/>
    <w:tmpl w:val="1D04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77F51"/>
    <w:multiLevelType w:val="hybridMultilevel"/>
    <w:tmpl w:val="B312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D312B"/>
    <w:multiLevelType w:val="hybridMultilevel"/>
    <w:tmpl w:val="0C509BB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B0378A0"/>
    <w:multiLevelType w:val="hybridMultilevel"/>
    <w:tmpl w:val="B8F87D7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88611E"/>
    <w:multiLevelType w:val="hybridMultilevel"/>
    <w:tmpl w:val="1D244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8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4"/>
    <w:rsid w:val="00010772"/>
    <w:rsid w:val="00015563"/>
    <w:rsid w:val="000734EA"/>
    <w:rsid w:val="000837C5"/>
    <w:rsid w:val="0008562C"/>
    <w:rsid w:val="000A6AC4"/>
    <w:rsid w:val="000D4F3A"/>
    <w:rsid w:val="000D519D"/>
    <w:rsid w:val="000E44BF"/>
    <w:rsid w:val="00114F8C"/>
    <w:rsid w:val="001426DE"/>
    <w:rsid w:val="00144E7D"/>
    <w:rsid w:val="001479A5"/>
    <w:rsid w:val="001647D3"/>
    <w:rsid w:val="001B0022"/>
    <w:rsid w:val="001B22D8"/>
    <w:rsid w:val="001F38A4"/>
    <w:rsid w:val="00210E14"/>
    <w:rsid w:val="00232DBC"/>
    <w:rsid w:val="002455DC"/>
    <w:rsid w:val="00257E95"/>
    <w:rsid w:val="00257FC7"/>
    <w:rsid w:val="0026573D"/>
    <w:rsid w:val="00282ADA"/>
    <w:rsid w:val="002924D4"/>
    <w:rsid w:val="00292576"/>
    <w:rsid w:val="002A6652"/>
    <w:rsid w:val="002B0EA5"/>
    <w:rsid w:val="002B0F6F"/>
    <w:rsid w:val="002B2C78"/>
    <w:rsid w:val="002D6452"/>
    <w:rsid w:val="002F3510"/>
    <w:rsid w:val="002F5E28"/>
    <w:rsid w:val="00316036"/>
    <w:rsid w:val="00325EED"/>
    <w:rsid w:val="003449A7"/>
    <w:rsid w:val="00356998"/>
    <w:rsid w:val="00386CD7"/>
    <w:rsid w:val="00401CD0"/>
    <w:rsid w:val="0041447D"/>
    <w:rsid w:val="0043616F"/>
    <w:rsid w:val="00453E0C"/>
    <w:rsid w:val="00464EED"/>
    <w:rsid w:val="00482643"/>
    <w:rsid w:val="0049106D"/>
    <w:rsid w:val="00494B4F"/>
    <w:rsid w:val="00496DE7"/>
    <w:rsid w:val="004D186D"/>
    <w:rsid w:val="004E5B5B"/>
    <w:rsid w:val="004F2143"/>
    <w:rsid w:val="0054397F"/>
    <w:rsid w:val="00551C2A"/>
    <w:rsid w:val="00565E92"/>
    <w:rsid w:val="005D6D7F"/>
    <w:rsid w:val="005E299B"/>
    <w:rsid w:val="00622B9A"/>
    <w:rsid w:val="0063311D"/>
    <w:rsid w:val="006402B3"/>
    <w:rsid w:val="00642739"/>
    <w:rsid w:val="00644226"/>
    <w:rsid w:val="00647639"/>
    <w:rsid w:val="00662313"/>
    <w:rsid w:val="00671CDB"/>
    <w:rsid w:val="00673349"/>
    <w:rsid w:val="006743F9"/>
    <w:rsid w:val="0069101F"/>
    <w:rsid w:val="00696AC8"/>
    <w:rsid w:val="006A3CB0"/>
    <w:rsid w:val="006A541A"/>
    <w:rsid w:val="006C0FC8"/>
    <w:rsid w:val="006D32A5"/>
    <w:rsid w:val="007130F1"/>
    <w:rsid w:val="0078520B"/>
    <w:rsid w:val="00790110"/>
    <w:rsid w:val="007A6733"/>
    <w:rsid w:val="007B591A"/>
    <w:rsid w:val="007C5C06"/>
    <w:rsid w:val="007E6971"/>
    <w:rsid w:val="007F0077"/>
    <w:rsid w:val="008178FD"/>
    <w:rsid w:val="00823142"/>
    <w:rsid w:val="00824364"/>
    <w:rsid w:val="00872625"/>
    <w:rsid w:val="008A2AE1"/>
    <w:rsid w:val="008D1F67"/>
    <w:rsid w:val="008E7705"/>
    <w:rsid w:val="009076AF"/>
    <w:rsid w:val="009171B5"/>
    <w:rsid w:val="009326FE"/>
    <w:rsid w:val="009528B0"/>
    <w:rsid w:val="009726AC"/>
    <w:rsid w:val="00973D48"/>
    <w:rsid w:val="009939E9"/>
    <w:rsid w:val="00993F71"/>
    <w:rsid w:val="009A5362"/>
    <w:rsid w:val="009E0BAF"/>
    <w:rsid w:val="009F1977"/>
    <w:rsid w:val="00A02673"/>
    <w:rsid w:val="00A034FB"/>
    <w:rsid w:val="00A20F15"/>
    <w:rsid w:val="00A55281"/>
    <w:rsid w:val="00A7582A"/>
    <w:rsid w:val="00A822E8"/>
    <w:rsid w:val="00AA104F"/>
    <w:rsid w:val="00AA4610"/>
    <w:rsid w:val="00AA760F"/>
    <w:rsid w:val="00AE32CF"/>
    <w:rsid w:val="00B00DC8"/>
    <w:rsid w:val="00B00E6C"/>
    <w:rsid w:val="00B153B3"/>
    <w:rsid w:val="00B257C5"/>
    <w:rsid w:val="00B36918"/>
    <w:rsid w:val="00B42FB5"/>
    <w:rsid w:val="00B67CAA"/>
    <w:rsid w:val="00B97C0B"/>
    <w:rsid w:val="00BA06DB"/>
    <w:rsid w:val="00BE04C8"/>
    <w:rsid w:val="00C17F4F"/>
    <w:rsid w:val="00C33402"/>
    <w:rsid w:val="00C60B25"/>
    <w:rsid w:val="00C74CA0"/>
    <w:rsid w:val="00C87B6D"/>
    <w:rsid w:val="00CF690E"/>
    <w:rsid w:val="00D22B56"/>
    <w:rsid w:val="00D37442"/>
    <w:rsid w:val="00D5533A"/>
    <w:rsid w:val="00D821E8"/>
    <w:rsid w:val="00DB0B9D"/>
    <w:rsid w:val="00DB42B6"/>
    <w:rsid w:val="00DD4CE9"/>
    <w:rsid w:val="00E06456"/>
    <w:rsid w:val="00E27B68"/>
    <w:rsid w:val="00E31583"/>
    <w:rsid w:val="00E66218"/>
    <w:rsid w:val="00E8176B"/>
    <w:rsid w:val="00EA10BE"/>
    <w:rsid w:val="00EA2A86"/>
    <w:rsid w:val="00EA5F46"/>
    <w:rsid w:val="00EB13F6"/>
    <w:rsid w:val="00EB142F"/>
    <w:rsid w:val="00EB2693"/>
    <w:rsid w:val="00ED064B"/>
    <w:rsid w:val="00ED2367"/>
    <w:rsid w:val="00EE0F83"/>
    <w:rsid w:val="00EF2FAF"/>
    <w:rsid w:val="00EF32B2"/>
    <w:rsid w:val="00EF678D"/>
    <w:rsid w:val="00F4069B"/>
    <w:rsid w:val="00F526CF"/>
    <w:rsid w:val="00F65E56"/>
    <w:rsid w:val="00F67485"/>
    <w:rsid w:val="00F77977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4"/>
    <w:pPr>
      <w:tabs>
        <w:tab w:val="right" w:pos="9214"/>
      </w:tabs>
      <w:spacing w:before="80" w:after="0" w:line="270" w:lineRule="atLeast"/>
    </w:pPr>
    <w:rPr>
      <w:rFonts w:ascii="Arial" w:eastAsia="Times New Roman" w:hAnsi="Arial" w:cs="Arial"/>
      <w:sz w:val="21"/>
      <w:szCs w:val="21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D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3"/>
    <w:uiPriority w:val="39"/>
    <w:rsid w:val="00D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F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26DE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67CA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16036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036"/>
    <w:rPr>
      <w:rFonts w:ascii="Consolas" w:eastAsia="Times New Roman" w:hAnsi="Consolas" w:cs="Arial"/>
      <w:sz w:val="20"/>
      <w:szCs w:val="20"/>
      <w:lang w:val="en-GB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257F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4"/>
    <w:pPr>
      <w:tabs>
        <w:tab w:val="right" w:pos="9214"/>
      </w:tabs>
      <w:spacing w:before="80" w:after="0" w:line="270" w:lineRule="atLeast"/>
    </w:pPr>
    <w:rPr>
      <w:rFonts w:ascii="Arial" w:eastAsia="Times New Roman" w:hAnsi="Arial" w:cs="Arial"/>
      <w:sz w:val="21"/>
      <w:szCs w:val="21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D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3"/>
    <w:uiPriority w:val="39"/>
    <w:rsid w:val="00D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F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26DE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67CA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16036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036"/>
    <w:rPr>
      <w:rFonts w:ascii="Consolas" w:eastAsia="Times New Roman" w:hAnsi="Consolas" w:cs="Arial"/>
      <w:sz w:val="20"/>
      <w:szCs w:val="20"/>
      <w:lang w:val="en-GB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25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tynai.moldoeva@helvet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Nurgul Jamankulova, DPI</cp:lastModifiedBy>
  <cp:revision>3</cp:revision>
  <cp:lastPrinted>2022-02-15T05:04:00Z</cp:lastPrinted>
  <dcterms:created xsi:type="dcterms:W3CDTF">2022-02-16T08:46:00Z</dcterms:created>
  <dcterms:modified xsi:type="dcterms:W3CDTF">2022-02-16T11:05:00Z</dcterms:modified>
</cp:coreProperties>
</file>