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0F6" w:rsidRPr="002960F6" w:rsidRDefault="002960F6" w:rsidP="002960F6">
      <w:pPr>
        <w:spacing w:beforeLines="40" w:before="96" w:afterLines="40" w:after="96" w:line="240" w:lineRule="auto"/>
        <w:rPr>
          <w:rFonts w:ascii="Arial" w:eastAsia="Times New Roman" w:hAnsi="Arial" w:cs="Arial"/>
          <w:b/>
          <w:bCs/>
          <w:color w:val="365F91"/>
          <w:sz w:val="20"/>
          <w:szCs w:val="20"/>
          <w:lang w:val="en-GB" w:eastAsia="de-DE"/>
        </w:rPr>
      </w:pPr>
      <w:r w:rsidRPr="002960F6">
        <w:rPr>
          <w:rFonts w:ascii="Arial" w:eastAsia="Times New Roman" w:hAnsi="Arial" w:cs="Arial"/>
          <w:b/>
          <w:bCs/>
          <w:color w:val="365F91"/>
          <w:sz w:val="20"/>
          <w:szCs w:val="20"/>
          <w:lang w:val="en-GB" w:eastAsia="de-DE"/>
        </w:rPr>
        <w:t xml:space="preserve">Annex </w:t>
      </w:r>
      <w:r>
        <w:rPr>
          <w:rFonts w:ascii="Arial" w:eastAsia="Times New Roman" w:hAnsi="Arial" w:cs="Arial"/>
          <w:b/>
          <w:bCs/>
          <w:color w:val="365F91"/>
          <w:sz w:val="20"/>
          <w:szCs w:val="20"/>
          <w:lang w:val="en-GB" w:eastAsia="de-DE"/>
        </w:rPr>
        <w:t>1</w:t>
      </w:r>
      <w:r w:rsidRPr="002960F6">
        <w:rPr>
          <w:rFonts w:ascii="Arial" w:eastAsia="Times New Roman" w:hAnsi="Arial" w:cs="Arial"/>
          <w:b/>
          <w:bCs/>
          <w:color w:val="365F91"/>
          <w:sz w:val="20"/>
          <w:szCs w:val="20"/>
          <w:lang w:val="en-GB" w:eastAsia="de-DE"/>
        </w:rPr>
        <w:t xml:space="preserve"> – PSI Logical Framework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811"/>
        <w:gridCol w:w="527"/>
        <w:gridCol w:w="2586"/>
        <w:gridCol w:w="1672"/>
        <w:gridCol w:w="2483"/>
        <w:gridCol w:w="1671"/>
        <w:gridCol w:w="1735"/>
      </w:tblGrid>
      <w:tr w:rsidR="002960F6" w:rsidRPr="002960F6" w:rsidTr="009427A4">
        <w:tc>
          <w:tcPr>
            <w:tcW w:w="2830" w:type="dxa"/>
            <w:gridSpan w:val="2"/>
            <w:tcBorders>
              <w:bottom w:val="single" w:sz="6" w:space="0" w:color="000000"/>
              <w:right w:val="single" w:sz="6" w:space="0" w:color="000000"/>
            </w:tcBorders>
            <w:shd w:val="clear" w:color="auto" w:fill="D9D9D9"/>
            <w:vAlign w:val="center"/>
          </w:tcPr>
          <w:p w:rsidR="002960F6" w:rsidRPr="002960F6" w:rsidRDefault="002960F6" w:rsidP="002960F6">
            <w:pPr>
              <w:spacing w:beforeLines="40" w:before="96" w:afterLines="40" w:after="96" w:line="200" w:lineRule="atLeast"/>
              <w:jc w:val="center"/>
              <w:rPr>
                <w:rFonts w:ascii="Arial" w:eastAsia="Times New Roman" w:hAnsi="Arial" w:cs="Arial"/>
                <w:i/>
                <w:iCs/>
                <w:caps/>
                <w:sz w:val="20"/>
                <w:szCs w:val="20"/>
                <w:lang w:eastAsia="de-DE"/>
              </w:rPr>
            </w:pPr>
            <w:r w:rsidRPr="002960F6">
              <w:rPr>
                <w:rFonts w:ascii="Arial" w:eastAsia="Times New Roman" w:hAnsi="Arial" w:cs="Arial"/>
                <w:b/>
                <w:bCs/>
                <w:i/>
                <w:iCs/>
                <w:caps/>
                <w:sz w:val="20"/>
                <w:szCs w:val="20"/>
                <w:lang w:eastAsia="de-DE"/>
              </w:rPr>
              <w:t>Hierarchy of objectives</w:t>
            </w:r>
            <w:r w:rsidRPr="002960F6">
              <w:rPr>
                <w:rFonts w:ascii="Arial" w:eastAsia="Times New Roman" w:hAnsi="Arial" w:cs="Arial"/>
                <w:b/>
                <w:i/>
                <w:iCs/>
                <w:caps/>
                <w:sz w:val="20"/>
                <w:szCs w:val="20"/>
                <w:lang w:eastAsia="de-DE"/>
              </w:rPr>
              <w:br/>
              <w:t>Strategy of Intervention</w:t>
            </w:r>
          </w:p>
        </w:tc>
        <w:tc>
          <w:tcPr>
            <w:tcW w:w="567" w:type="dxa"/>
            <w:tcBorders>
              <w:bottom w:val="single" w:sz="6" w:space="0" w:color="000000"/>
            </w:tcBorders>
            <w:shd w:val="clear" w:color="auto" w:fill="D9D9D9"/>
            <w:vAlign w:val="center"/>
          </w:tcPr>
          <w:p w:rsidR="002960F6" w:rsidRPr="002960F6" w:rsidRDefault="002960F6" w:rsidP="002960F6">
            <w:pPr>
              <w:spacing w:beforeLines="40" w:before="96" w:afterLines="40" w:after="96" w:line="200" w:lineRule="atLeast"/>
              <w:jc w:val="center"/>
              <w:rPr>
                <w:rFonts w:ascii="Arial" w:eastAsia="Times New Roman" w:hAnsi="Arial" w:cs="Arial"/>
                <w:i/>
                <w:iCs/>
                <w:caps/>
                <w:sz w:val="20"/>
                <w:szCs w:val="20"/>
                <w:lang w:eastAsia="de-DE"/>
              </w:rPr>
            </w:pPr>
            <w:r w:rsidRPr="002960F6">
              <w:rPr>
                <w:rFonts w:ascii="Arial" w:eastAsia="Times New Roman" w:hAnsi="Arial" w:cs="Arial"/>
                <w:i/>
                <w:iCs/>
                <w:caps/>
                <w:sz w:val="20"/>
                <w:szCs w:val="20"/>
                <w:lang w:eastAsia="de-DE"/>
              </w:rPr>
              <w:t>#</w:t>
            </w:r>
          </w:p>
        </w:tc>
        <w:tc>
          <w:tcPr>
            <w:tcW w:w="3544" w:type="dxa"/>
            <w:tcBorders>
              <w:bottom w:val="single" w:sz="6" w:space="0" w:color="000000"/>
            </w:tcBorders>
            <w:shd w:val="clear" w:color="auto" w:fill="D9D9D9"/>
            <w:vAlign w:val="center"/>
          </w:tcPr>
          <w:p w:rsidR="002960F6" w:rsidRPr="002960F6" w:rsidRDefault="002960F6" w:rsidP="002960F6">
            <w:pPr>
              <w:spacing w:beforeLines="40" w:before="96" w:afterLines="40" w:after="96" w:line="200" w:lineRule="atLeast"/>
              <w:jc w:val="center"/>
              <w:rPr>
                <w:rFonts w:ascii="Arial" w:eastAsia="Times New Roman" w:hAnsi="Arial" w:cs="Arial"/>
                <w:i/>
                <w:iCs/>
                <w:caps/>
                <w:sz w:val="20"/>
                <w:szCs w:val="20"/>
                <w:lang w:val="en-GB" w:eastAsia="de-DE"/>
              </w:rPr>
            </w:pPr>
            <w:r w:rsidRPr="002960F6">
              <w:rPr>
                <w:rFonts w:ascii="Arial" w:eastAsia="Times New Roman" w:hAnsi="Arial" w:cs="Arial"/>
                <w:b/>
                <w:i/>
                <w:iCs/>
                <w:caps/>
                <w:sz w:val="20"/>
                <w:szCs w:val="20"/>
                <w:lang w:val="en-GB" w:eastAsia="de-DE"/>
              </w:rPr>
              <w:t>Key Indicators</w:t>
            </w:r>
          </w:p>
        </w:tc>
        <w:tc>
          <w:tcPr>
            <w:tcW w:w="1985" w:type="dxa"/>
            <w:tcBorders>
              <w:bottom w:val="single" w:sz="6" w:space="0" w:color="000000"/>
            </w:tcBorders>
            <w:shd w:val="clear" w:color="auto" w:fill="D9D9D9"/>
            <w:vAlign w:val="center"/>
          </w:tcPr>
          <w:p w:rsidR="002960F6" w:rsidRPr="002960F6" w:rsidRDefault="002960F6" w:rsidP="002960F6">
            <w:pPr>
              <w:tabs>
                <w:tab w:val="right" w:pos="3302"/>
              </w:tabs>
              <w:spacing w:beforeLines="40" w:before="96" w:afterLines="40" w:after="96" w:line="200" w:lineRule="atLeast"/>
              <w:jc w:val="center"/>
              <w:rPr>
                <w:rFonts w:ascii="Arial" w:eastAsia="Times New Roman" w:hAnsi="Arial" w:cs="Arial"/>
                <w:b/>
                <w:i/>
                <w:iCs/>
                <w:caps/>
                <w:sz w:val="20"/>
                <w:szCs w:val="20"/>
                <w:lang w:val="en-GB" w:eastAsia="de-DE"/>
              </w:rPr>
            </w:pPr>
            <w:r w:rsidRPr="002960F6">
              <w:rPr>
                <w:rFonts w:ascii="Arial" w:eastAsia="Times New Roman" w:hAnsi="Arial" w:cs="Arial"/>
                <w:b/>
                <w:i/>
                <w:iCs/>
                <w:caps/>
                <w:sz w:val="20"/>
                <w:szCs w:val="20"/>
                <w:lang w:val="en-GB" w:eastAsia="de-DE"/>
              </w:rPr>
              <w:t>Baseline</w:t>
            </w:r>
          </w:p>
        </w:tc>
        <w:tc>
          <w:tcPr>
            <w:tcW w:w="3260" w:type="dxa"/>
            <w:tcBorders>
              <w:bottom w:val="single" w:sz="6" w:space="0" w:color="000000"/>
            </w:tcBorders>
            <w:shd w:val="clear" w:color="auto" w:fill="D9D9D9"/>
            <w:vAlign w:val="center"/>
          </w:tcPr>
          <w:p w:rsidR="002960F6" w:rsidRPr="002960F6" w:rsidRDefault="002960F6" w:rsidP="002960F6">
            <w:pPr>
              <w:tabs>
                <w:tab w:val="right" w:pos="3302"/>
              </w:tabs>
              <w:spacing w:beforeLines="40" w:before="96" w:afterLines="40" w:after="96" w:line="200" w:lineRule="atLeast"/>
              <w:jc w:val="center"/>
              <w:rPr>
                <w:rFonts w:ascii="Arial" w:eastAsia="Times New Roman" w:hAnsi="Arial" w:cs="Arial"/>
                <w:b/>
                <w:i/>
                <w:iCs/>
                <w:caps/>
                <w:sz w:val="20"/>
                <w:szCs w:val="20"/>
                <w:lang w:val="en-GB" w:eastAsia="de-DE"/>
              </w:rPr>
            </w:pPr>
            <w:r w:rsidRPr="002960F6">
              <w:rPr>
                <w:rFonts w:ascii="Arial" w:eastAsia="Times New Roman" w:hAnsi="Arial" w:cs="Arial"/>
                <w:b/>
                <w:i/>
                <w:iCs/>
                <w:caps/>
                <w:sz w:val="20"/>
                <w:szCs w:val="20"/>
                <w:lang w:val="en-GB" w:eastAsia="de-DE"/>
              </w:rPr>
              <w:t>Target</w:t>
            </w:r>
          </w:p>
        </w:tc>
        <w:tc>
          <w:tcPr>
            <w:tcW w:w="1710" w:type="dxa"/>
            <w:tcBorders>
              <w:bottom w:val="single" w:sz="6" w:space="0" w:color="000000"/>
            </w:tcBorders>
            <w:shd w:val="clear" w:color="auto" w:fill="D9D9D9"/>
            <w:vAlign w:val="center"/>
          </w:tcPr>
          <w:p w:rsidR="002960F6" w:rsidRPr="002960F6" w:rsidRDefault="002960F6" w:rsidP="002960F6">
            <w:pPr>
              <w:tabs>
                <w:tab w:val="right" w:pos="3302"/>
              </w:tabs>
              <w:spacing w:beforeLines="40" w:before="96" w:afterLines="40" w:after="96" w:line="200" w:lineRule="atLeast"/>
              <w:jc w:val="center"/>
              <w:rPr>
                <w:rFonts w:ascii="Arial" w:eastAsia="Times New Roman" w:hAnsi="Arial" w:cs="Arial"/>
                <w:b/>
                <w:i/>
                <w:iCs/>
                <w:caps/>
                <w:sz w:val="20"/>
                <w:szCs w:val="20"/>
                <w:lang w:eastAsia="de-DE"/>
              </w:rPr>
            </w:pPr>
            <w:r w:rsidRPr="002960F6">
              <w:rPr>
                <w:rFonts w:ascii="Arial" w:eastAsia="Times New Roman" w:hAnsi="Arial" w:cs="Arial"/>
                <w:b/>
                <w:i/>
                <w:iCs/>
                <w:caps/>
                <w:sz w:val="20"/>
                <w:szCs w:val="20"/>
                <w:lang w:eastAsia="de-DE"/>
              </w:rPr>
              <w:t>Data Sources</w:t>
            </w:r>
            <w:r w:rsidRPr="002960F6">
              <w:rPr>
                <w:rFonts w:ascii="Arial" w:eastAsia="Times New Roman" w:hAnsi="Arial" w:cs="Arial"/>
                <w:b/>
                <w:i/>
                <w:iCs/>
                <w:caps/>
                <w:sz w:val="20"/>
                <w:szCs w:val="20"/>
                <w:lang w:eastAsia="de-DE"/>
              </w:rPr>
              <w:br/>
              <w:t>Means of Verification</w:t>
            </w:r>
          </w:p>
        </w:tc>
        <w:tc>
          <w:tcPr>
            <w:tcW w:w="1798" w:type="dxa"/>
            <w:tcBorders>
              <w:bottom w:val="single" w:sz="6" w:space="0" w:color="000000"/>
            </w:tcBorders>
            <w:shd w:val="clear" w:color="auto" w:fill="D9D9D9"/>
            <w:vAlign w:val="center"/>
          </w:tcPr>
          <w:p w:rsidR="002960F6" w:rsidRPr="002960F6" w:rsidRDefault="002960F6" w:rsidP="002960F6">
            <w:pPr>
              <w:tabs>
                <w:tab w:val="right" w:pos="3311"/>
              </w:tabs>
              <w:spacing w:beforeLines="40" w:before="96" w:afterLines="40" w:after="96" w:line="200" w:lineRule="atLeast"/>
              <w:jc w:val="center"/>
              <w:rPr>
                <w:rFonts w:ascii="Arial" w:eastAsia="Times New Roman" w:hAnsi="Arial" w:cs="Arial"/>
                <w:b/>
                <w:i/>
                <w:iCs/>
                <w:caps/>
                <w:sz w:val="20"/>
                <w:szCs w:val="20"/>
                <w:lang w:val="en-GB" w:eastAsia="de-DE"/>
              </w:rPr>
            </w:pPr>
            <w:r w:rsidRPr="002960F6">
              <w:rPr>
                <w:rFonts w:ascii="Arial" w:eastAsia="Times New Roman" w:hAnsi="Arial" w:cs="Arial"/>
                <w:b/>
                <w:i/>
                <w:iCs/>
                <w:caps/>
                <w:sz w:val="20"/>
                <w:szCs w:val="20"/>
                <w:lang w:val="en-GB" w:eastAsia="de-DE"/>
              </w:rPr>
              <w:t>External Factors</w:t>
            </w:r>
            <w:r w:rsidRPr="002960F6">
              <w:rPr>
                <w:rFonts w:ascii="Arial" w:eastAsia="Times New Roman" w:hAnsi="Arial" w:cs="Arial"/>
                <w:b/>
                <w:i/>
                <w:iCs/>
                <w:caps/>
                <w:sz w:val="20"/>
                <w:szCs w:val="20"/>
                <w:lang w:val="en-GB" w:eastAsia="de-DE"/>
              </w:rPr>
              <w:br/>
              <w:t>Assumptions</w:t>
            </w:r>
          </w:p>
        </w:tc>
      </w:tr>
      <w:tr w:rsidR="002960F6" w:rsidRPr="002960F6" w:rsidTr="009427A4">
        <w:tc>
          <w:tcPr>
            <w:tcW w:w="2830" w:type="dxa"/>
            <w:gridSpan w:val="2"/>
            <w:tcBorders>
              <w:right w:val="single" w:sz="6" w:space="0" w:color="000000"/>
            </w:tcBorders>
            <w:shd w:val="clear" w:color="auto" w:fill="BDD6EE"/>
            <w:vAlign w:val="center"/>
          </w:tcPr>
          <w:p w:rsidR="002960F6" w:rsidRPr="002960F6" w:rsidRDefault="002960F6" w:rsidP="002960F6">
            <w:pPr>
              <w:spacing w:beforeLines="40" w:before="96" w:afterLines="40" w:after="96" w:line="200" w:lineRule="atLeast"/>
              <w:jc w:val="center"/>
              <w:rPr>
                <w:rFonts w:ascii="Arial" w:eastAsia="Times New Roman" w:hAnsi="Arial" w:cs="Arial"/>
                <w:sz w:val="20"/>
                <w:szCs w:val="20"/>
                <w:lang w:val="en-GB" w:eastAsia="de-DE"/>
              </w:rPr>
            </w:pPr>
            <w:r w:rsidRPr="002960F6">
              <w:rPr>
                <w:rFonts w:ascii="Arial" w:eastAsia="Times New Roman" w:hAnsi="Arial" w:cs="Arial"/>
                <w:b/>
                <w:sz w:val="20"/>
                <w:szCs w:val="20"/>
                <w:lang w:val="en-GB" w:eastAsia="de-DE"/>
              </w:rPr>
              <w:t>Impact (Overall Goal)</w:t>
            </w:r>
          </w:p>
        </w:tc>
        <w:tc>
          <w:tcPr>
            <w:tcW w:w="4111" w:type="dxa"/>
            <w:gridSpan w:val="2"/>
            <w:shd w:val="clear" w:color="auto" w:fill="BDD6EE"/>
            <w:vAlign w:val="center"/>
          </w:tcPr>
          <w:p w:rsidR="002960F6" w:rsidRPr="002960F6" w:rsidRDefault="002960F6" w:rsidP="002960F6">
            <w:pPr>
              <w:spacing w:beforeLines="40" w:before="96" w:afterLines="40" w:after="96" w:line="200" w:lineRule="atLeast"/>
              <w:jc w:val="center"/>
              <w:rPr>
                <w:rFonts w:ascii="Arial" w:eastAsia="Times New Roman" w:hAnsi="Arial" w:cs="Arial"/>
                <w:sz w:val="20"/>
                <w:szCs w:val="20"/>
                <w:lang w:val="en-GB" w:eastAsia="de-DE"/>
              </w:rPr>
            </w:pPr>
            <w:r w:rsidRPr="002960F6">
              <w:rPr>
                <w:rFonts w:ascii="Arial" w:eastAsia="Times New Roman" w:hAnsi="Arial" w:cs="Arial"/>
                <w:b/>
                <w:sz w:val="20"/>
                <w:szCs w:val="20"/>
                <w:lang w:val="en-GB" w:eastAsia="de-DE"/>
              </w:rPr>
              <w:t>Impact Indicators</w:t>
            </w:r>
          </w:p>
        </w:tc>
        <w:tc>
          <w:tcPr>
            <w:tcW w:w="1985" w:type="dxa"/>
            <w:shd w:val="clear" w:color="auto" w:fill="BDD6EE"/>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val="en-GB" w:eastAsia="de-DE"/>
              </w:rPr>
            </w:pPr>
          </w:p>
        </w:tc>
        <w:tc>
          <w:tcPr>
            <w:tcW w:w="3260" w:type="dxa"/>
            <w:shd w:val="clear" w:color="auto" w:fill="BDD6EE"/>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val="en-GB" w:eastAsia="de-DE"/>
              </w:rPr>
            </w:pPr>
          </w:p>
        </w:tc>
        <w:tc>
          <w:tcPr>
            <w:tcW w:w="1710" w:type="dxa"/>
            <w:shd w:val="clear" w:color="auto" w:fill="BDD6EE"/>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val="en-GB" w:eastAsia="de-DE"/>
              </w:rPr>
            </w:pPr>
          </w:p>
        </w:tc>
        <w:tc>
          <w:tcPr>
            <w:tcW w:w="1798" w:type="dxa"/>
            <w:shd w:val="clear" w:color="auto" w:fill="BDD6EE"/>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val="en-GB" w:eastAsia="de-DE"/>
              </w:rPr>
            </w:pPr>
          </w:p>
        </w:tc>
      </w:tr>
      <w:tr w:rsidR="00B44117" w:rsidRPr="002960F6" w:rsidTr="00434A0B">
        <w:trPr>
          <w:trHeight w:val="1408"/>
        </w:trPr>
        <w:tc>
          <w:tcPr>
            <w:tcW w:w="741" w:type="dxa"/>
            <w:vMerge w:val="restart"/>
            <w:tcBorders>
              <w:right w:val="single" w:sz="6" w:space="0" w:color="000000"/>
            </w:tcBorders>
            <w:shd w:val="clear" w:color="auto" w:fill="auto"/>
            <w:textDirection w:val="btLr"/>
            <w:vAlign w:val="center"/>
          </w:tcPr>
          <w:p w:rsidR="002960F6" w:rsidRPr="002960F6" w:rsidRDefault="002960F6" w:rsidP="002960F6">
            <w:pPr>
              <w:spacing w:beforeLines="40" w:before="96" w:afterLines="40" w:after="96" w:line="200" w:lineRule="atLeast"/>
              <w:ind w:left="113" w:right="113"/>
              <w:jc w:val="center"/>
              <w:rPr>
                <w:rFonts w:ascii="Arial" w:eastAsia="Times New Roman" w:hAnsi="Arial" w:cs="Arial"/>
                <w:b/>
                <w:sz w:val="20"/>
                <w:szCs w:val="20"/>
                <w:lang w:eastAsia="de-DE"/>
              </w:rPr>
            </w:pPr>
            <w:r w:rsidRPr="002960F6">
              <w:rPr>
                <w:rFonts w:ascii="Arial" w:eastAsia="Times New Roman" w:hAnsi="Arial" w:cs="Arial"/>
                <w:b/>
                <w:sz w:val="20"/>
                <w:szCs w:val="20"/>
                <w:lang w:eastAsia="de-DE"/>
              </w:rPr>
              <w:t>Impact</w:t>
            </w:r>
          </w:p>
        </w:tc>
        <w:tc>
          <w:tcPr>
            <w:tcW w:w="2089" w:type="dxa"/>
            <w:vMerge w:val="restart"/>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b/>
                <w:sz w:val="20"/>
                <w:szCs w:val="20"/>
                <w:lang w:eastAsia="de-DE"/>
              </w:rPr>
            </w:pPr>
            <w:r w:rsidRPr="002960F6">
              <w:rPr>
                <w:rFonts w:ascii="Arial" w:eastAsia="Times New Roman" w:hAnsi="Arial" w:cs="Arial"/>
                <w:b/>
                <w:sz w:val="20"/>
                <w:szCs w:val="20"/>
                <w:lang w:eastAsia="de-DE"/>
              </w:rPr>
              <w:t>Municipalities have a sustainable system of service management at the local level timely and efficiently responsive to the demands of citizens.</w:t>
            </w:r>
          </w:p>
        </w:tc>
        <w:tc>
          <w:tcPr>
            <w:tcW w:w="567"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1.</w:t>
            </w:r>
          </w:p>
        </w:tc>
        <w:tc>
          <w:tcPr>
            <w:tcW w:w="3544" w:type="dxa"/>
            <w:shd w:val="clear" w:color="auto" w:fill="auto"/>
            <w:vAlign w:val="center"/>
          </w:tcPr>
          <w:p w:rsidR="002960F6" w:rsidRPr="002960F6" w:rsidRDefault="002960F6" w:rsidP="002960F6">
            <w:pPr>
              <w:tabs>
                <w:tab w:val="left" w:pos="567"/>
              </w:tabs>
              <w:spacing w:beforeLines="40" w:before="96" w:afterLines="40" w:after="96" w:line="200" w:lineRule="atLeast"/>
              <w:jc w:val="both"/>
              <w:rPr>
                <w:rFonts w:ascii="Arial" w:eastAsia="Times New Roman" w:hAnsi="Arial" w:cs="Arial"/>
                <w:sz w:val="20"/>
                <w:szCs w:val="20"/>
                <w:lang w:eastAsia="de-DE"/>
              </w:rPr>
            </w:pPr>
            <w:r w:rsidRPr="002960F6">
              <w:rPr>
                <w:rFonts w:ascii="Arial" w:eastAsia="Times New Roman" w:hAnsi="Arial" w:cs="Arial"/>
                <w:sz w:val="20"/>
                <w:szCs w:val="20"/>
                <w:lang w:eastAsia="de-DE"/>
              </w:rPr>
              <w:t xml:space="preserve">Satisfaction rate with public services </w:t>
            </w:r>
          </w:p>
        </w:tc>
        <w:tc>
          <w:tcPr>
            <w:tcW w:w="1985" w:type="dxa"/>
            <w:shd w:val="clear" w:color="auto" w:fill="auto"/>
            <w:vAlign w:val="center"/>
          </w:tcPr>
          <w:p w:rsidR="002960F6" w:rsidRPr="00A24629" w:rsidRDefault="002960F6" w:rsidP="002960F6">
            <w:pPr>
              <w:spacing w:beforeLines="40" w:before="96" w:afterLines="40" w:after="96" w:line="200" w:lineRule="atLeast"/>
              <w:rPr>
                <w:rFonts w:ascii="Arial" w:eastAsia="Times New Roman" w:hAnsi="Arial" w:cs="Arial"/>
                <w:sz w:val="20"/>
                <w:szCs w:val="20"/>
                <w:lang w:eastAsia="de-DE"/>
              </w:rPr>
            </w:pPr>
            <w:r w:rsidRPr="00A24629">
              <w:rPr>
                <w:rFonts w:ascii="Arial" w:eastAsia="Times New Roman" w:hAnsi="Arial" w:cs="Arial"/>
                <w:sz w:val="20"/>
                <w:szCs w:val="20"/>
                <w:lang w:eastAsia="de-DE"/>
              </w:rPr>
              <w:t>39%</w:t>
            </w:r>
          </w:p>
        </w:tc>
        <w:tc>
          <w:tcPr>
            <w:tcW w:w="3260" w:type="dxa"/>
            <w:shd w:val="clear" w:color="auto" w:fill="auto"/>
            <w:vAlign w:val="center"/>
          </w:tcPr>
          <w:p w:rsidR="002960F6" w:rsidRPr="00A24629" w:rsidRDefault="002960F6" w:rsidP="002960F6">
            <w:pPr>
              <w:spacing w:beforeLines="40" w:before="96" w:afterLines="40" w:after="96" w:line="200" w:lineRule="atLeast"/>
              <w:rPr>
                <w:rFonts w:ascii="Arial" w:eastAsia="Times New Roman" w:hAnsi="Arial" w:cs="Arial"/>
                <w:sz w:val="20"/>
                <w:szCs w:val="20"/>
                <w:lang w:eastAsia="de-DE"/>
              </w:rPr>
            </w:pPr>
            <w:r w:rsidRPr="00A24629">
              <w:rPr>
                <w:rFonts w:ascii="Arial" w:eastAsia="Times New Roman" w:hAnsi="Arial" w:cs="Arial"/>
                <w:sz w:val="20"/>
                <w:szCs w:val="20"/>
                <w:lang w:eastAsia="de-DE"/>
              </w:rPr>
              <w:t xml:space="preserve">As minimum </w:t>
            </w:r>
            <w:r w:rsidRPr="00A24629">
              <w:rPr>
                <w:rFonts w:ascii="Arial" w:eastAsia="Times New Roman" w:hAnsi="Arial" w:cs="Arial"/>
                <w:sz w:val="20"/>
                <w:szCs w:val="20"/>
                <w:lang w:val="en-GB" w:eastAsia="de-DE"/>
              </w:rPr>
              <w:t>54</w:t>
            </w:r>
            <w:r w:rsidRPr="00A24629">
              <w:rPr>
                <w:rFonts w:ascii="Arial" w:eastAsia="Times New Roman" w:hAnsi="Arial" w:cs="Arial"/>
                <w:sz w:val="20"/>
                <w:szCs w:val="20"/>
                <w:lang w:eastAsia="de-DE"/>
              </w:rPr>
              <w:t>%</w:t>
            </w:r>
          </w:p>
        </w:tc>
        <w:tc>
          <w:tcPr>
            <w:tcW w:w="1710" w:type="dxa"/>
            <w:vMerge w:val="restart"/>
            <w:shd w:val="clear" w:color="auto" w:fill="auto"/>
            <w:vAlign w:val="center"/>
          </w:tcPr>
          <w:p w:rsidR="002960F6" w:rsidRPr="002960F6" w:rsidRDefault="002960F6" w:rsidP="002960F6">
            <w:pPr>
              <w:tabs>
                <w:tab w:val="left" w:pos="567"/>
              </w:tabs>
              <w:spacing w:before="40" w:after="40"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Questionnaires, surveys</w:t>
            </w:r>
          </w:p>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Local monitoring and evaluation system</w:t>
            </w:r>
          </w:p>
        </w:tc>
        <w:tc>
          <w:tcPr>
            <w:tcW w:w="1798" w:type="dxa"/>
            <w:vMerge w:val="restart"/>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The policy on the local government development aimed at improving the service sector</w:t>
            </w:r>
          </w:p>
        </w:tc>
      </w:tr>
      <w:tr w:rsidR="002960F6" w:rsidRPr="002960F6" w:rsidTr="009427A4">
        <w:tc>
          <w:tcPr>
            <w:tcW w:w="741" w:type="dxa"/>
            <w:vMerge/>
            <w:tcBorders>
              <w:right w:val="single" w:sz="6" w:space="0" w:color="000000"/>
            </w:tcBorders>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2089"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567"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2.</w:t>
            </w:r>
          </w:p>
        </w:tc>
        <w:tc>
          <w:tcPr>
            <w:tcW w:w="3544" w:type="dxa"/>
            <w:shd w:val="clear" w:color="auto" w:fill="auto"/>
            <w:vAlign w:val="center"/>
          </w:tcPr>
          <w:p w:rsidR="002960F6" w:rsidRPr="002960F6" w:rsidRDefault="002960F6" w:rsidP="002960F6">
            <w:pPr>
              <w:tabs>
                <w:tab w:val="left" w:pos="567"/>
              </w:tabs>
              <w:spacing w:beforeLines="40" w:before="96" w:afterLines="40" w:after="96" w:line="200" w:lineRule="atLeast"/>
              <w:jc w:val="both"/>
              <w:rPr>
                <w:rFonts w:ascii="Arial" w:eastAsia="Times New Roman" w:hAnsi="Arial" w:cs="Arial"/>
                <w:sz w:val="20"/>
                <w:szCs w:val="20"/>
                <w:lang w:eastAsia="de-DE"/>
              </w:rPr>
            </w:pPr>
            <w:r w:rsidRPr="002960F6">
              <w:rPr>
                <w:rFonts w:ascii="Arial" w:eastAsia="Times New Roman" w:hAnsi="Arial" w:cs="Arial"/>
                <w:sz w:val="20"/>
                <w:szCs w:val="20"/>
                <w:lang w:eastAsia="de-DE"/>
              </w:rPr>
              <w:t xml:space="preserve">Increased public service coverage on local level (quantity and quality) </w:t>
            </w:r>
          </w:p>
        </w:tc>
        <w:tc>
          <w:tcPr>
            <w:tcW w:w="1985"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color w:val="000000"/>
                <w:sz w:val="20"/>
                <w:szCs w:val="20"/>
                <w:lang w:eastAsia="ru-RU"/>
              </w:rPr>
            </w:pPr>
            <w:r w:rsidRPr="002960F6">
              <w:rPr>
                <w:rFonts w:ascii="Arial" w:eastAsia="Times New Roman" w:hAnsi="Arial" w:cs="Arial"/>
                <w:color w:val="000000"/>
                <w:sz w:val="20"/>
                <w:szCs w:val="20"/>
                <w:lang w:val="en-GB" w:eastAsia="de-DE"/>
              </w:rPr>
              <w:t>Project start: Zero point</w:t>
            </w:r>
          </w:p>
        </w:tc>
        <w:tc>
          <w:tcPr>
            <w:tcW w:w="3260" w:type="dxa"/>
            <w:shd w:val="clear" w:color="auto" w:fill="auto"/>
            <w:vAlign w:val="center"/>
          </w:tcPr>
          <w:p w:rsidR="002960F6" w:rsidRPr="002960F6" w:rsidRDefault="002960F6" w:rsidP="00434A0B">
            <w:pPr>
              <w:spacing w:before="40" w:after="40" w:line="200" w:lineRule="atLeast"/>
              <w:rPr>
                <w:rFonts w:ascii="Arial" w:eastAsia="Times New Roman" w:hAnsi="Arial" w:cs="Arial"/>
                <w:color w:val="000000"/>
                <w:sz w:val="20"/>
                <w:szCs w:val="20"/>
                <w:lang w:eastAsia="ru-RU"/>
              </w:rPr>
            </w:pPr>
            <w:r w:rsidRPr="002960F6">
              <w:rPr>
                <w:rFonts w:ascii="Arial" w:eastAsia="Times New Roman" w:hAnsi="Arial" w:cs="Arial"/>
                <w:color w:val="000000"/>
                <w:sz w:val="20"/>
                <w:szCs w:val="20"/>
                <w:lang w:eastAsia="de-DE"/>
              </w:rPr>
              <w:t>At least 60% of Project municipalities</w:t>
            </w:r>
            <w:r w:rsidR="00434A0B">
              <w:rPr>
                <w:rFonts w:ascii="Arial" w:eastAsia="Times New Roman" w:hAnsi="Arial" w:cs="Arial"/>
                <w:color w:val="000000"/>
                <w:sz w:val="20"/>
                <w:szCs w:val="20"/>
                <w:lang w:eastAsia="de-DE"/>
              </w:rPr>
              <w:t xml:space="preserve"> (18)</w:t>
            </w:r>
            <w:r w:rsidRPr="002960F6">
              <w:rPr>
                <w:rFonts w:ascii="Arial" w:eastAsia="Times New Roman" w:hAnsi="Arial" w:cs="Arial"/>
                <w:color w:val="000000"/>
                <w:sz w:val="20"/>
                <w:szCs w:val="20"/>
                <w:lang w:eastAsia="de-DE"/>
              </w:rPr>
              <w:t xml:space="preserve"> improved quality and coverage of services at the local level </w:t>
            </w:r>
          </w:p>
        </w:tc>
        <w:tc>
          <w:tcPr>
            <w:tcW w:w="1710"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1798"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r>
      <w:tr w:rsidR="002960F6" w:rsidRPr="002960F6" w:rsidTr="009427A4">
        <w:tc>
          <w:tcPr>
            <w:tcW w:w="741" w:type="dxa"/>
            <w:vMerge/>
            <w:tcBorders>
              <w:right w:val="single" w:sz="6" w:space="0" w:color="000000"/>
            </w:tcBorders>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2089"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567"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3.</w:t>
            </w:r>
          </w:p>
        </w:tc>
        <w:tc>
          <w:tcPr>
            <w:tcW w:w="3544" w:type="dxa"/>
            <w:shd w:val="clear" w:color="auto" w:fill="auto"/>
            <w:vAlign w:val="center"/>
          </w:tcPr>
          <w:p w:rsidR="002960F6" w:rsidRPr="002960F6" w:rsidRDefault="002960F6" w:rsidP="002960F6">
            <w:pPr>
              <w:tabs>
                <w:tab w:val="left" w:pos="567"/>
              </w:tabs>
              <w:spacing w:beforeLines="40" w:before="96" w:afterLines="40" w:after="96" w:line="200" w:lineRule="atLeast"/>
              <w:jc w:val="both"/>
              <w:rPr>
                <w:rFonts w:ascii="Arial" w:eastAsia="Times New Roman" w:hAnsi="Arial" w:cs="Arial"/>
                <w:sz w:val="20"/>
                <w:szCs w:val="20"/>
                <w:lang w:eastAsia="de-DE"/>
              </w:rPr>
            </w:pPr>
            <w:r w:rsidRPr="002960F6">
              <w:rPr>
                <w:rFonts w:ascii="Arial" w:eastAsia="Times New Roman" w:hAnsi="Arial" w:cs="Arial"/>
                <w:sz w:val="20"/>
                <w:szCs w:val="20"/>
                <w:lang w:eastAsia="de-DE"/>
              </w:rPr>
              <w:t>The local policy on service provision is in place</w:t>
            </w:r>
            <w:r w:rsidRPr="002960F6">
              <w:rPr>
                <w:rFonts w:ascii="Arial" w:eastAsia="Times New Roman" w:hAnsi="Arial" w:cs="Times New Roman"/>
                <w:sz w:val="20"/>
                <w:szCs w:val="20"/>
                <w:vertAlign w:val="superscript"/>
                <w:lang w:val="en-GB" w:eastAsia="de-DE"/>
              </w:rPr>
              <w:footnoteReference w:id="1"/>
            </w:r>
          </w:p>
        </w:tc>
        <w:tc>
          <w:tcPr>
            <w:tcW w:w="1985"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color w:val="000000"/>
                <w:sz w:val="20"/>
                <w:szCs w:val="20"/>
                <w:lang w:val="en-GB" w:eastAsia="de-DE"/>
              </w:rPr>
              <w:t>Project start: Zero point</w:t>
            </w:r>
          </w:p>
        </w:tc>
        <w:tc>
          <w:tcPr>
            <w:tcW w:w="3260" w:type="dxa"/>
            <w:shd w:val="clear" w:color="auto" w:fill="auto"/>
            <w:vAlign w:val="center"/>
          </w:tcPr>
          <w:p w:rsidR="002960F6" w:rsidRPr="002960F6" w:rsidRDefault="002960F6" w:rsidP="002960F6">
            <w:pPr>
              <w:spacing w:before="40" w:after="40" w:line="200" w:lineRule="atLeast"/>
              <w:rPr>
                <w:rFonts w:ascii="Arial" w:eastAsia="Times New Roman" w:hAnsi="Arial" w:cs="Arial"/>
                <w:color w:val="000000"/>
                <w:sz w:val="20"/>
                <w:szCs w:val="20"/>
                <w:lang w:eastAsia="ru-RU"/>
              </w:rPr>
            </w:pPr>
            <w:r w:rsidRPr="002960F6">
              <w:rPr>
                <w:rFonts w:ascii="Arial" w:eastAsia="Times New Roman" w:hAnsi="Arial" w:cs="Arial"/>
                <w:color w:val="000000"/>
                <w:sz w:val="20"/>
                <w:szCs w:val="20"/>
                <w:lang w:eastAsia="de-DE"/>
              </w:rPr>
              <w:t>80% of municipalities (24) have two new elements of local policy for service provision</w:t>
            </w:r>
          </w:p>
        </w:tc>
        <w:tc>
          <w:tcPr>
            <w:tcW w:w="1710"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1798"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r>
      <w:tr w:rsidR="002960F6" w:rsidRPr="002960F6" w:rsidTr="002960F6">
        <w:trPr>
          <w:trHeight w:val="1761"/>
        </w:trPr>
        <w:tc>
          <w:tcPr>
            <w:tcW w:w="741" w:type="dxa"/>
            <w:vMerge/>
            <w:tcBorders>
              <w:right w:val="single" w:sz="6" w:space="0" w:color="000000"/>
            </w:tcBorders>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2089"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567"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4.</w:t>
            </w:r>
          </w:p>
        </w:tc>
        <w:tc>
          <w:tcPr>
            <w:tcW w:w="3544" w:type="dxa"/>
            <w:shd w:val="clear" w:color="auto" w:fill="auto"/>
            <w:vAlign w:val="center"/>
          </w:tcPr>
          <w:p w:rsidR="002960F6" w:rsidRPr="002960F6" w:rsidRDefault="002960F6" w:rsidP="00A24629">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The level of satisfaction with priority services</w:t>
            </w:r>
            <w:r w:rsidR="00434A0B">
              <w:rPr>
                <w:rStyle w:val="FootnoteReference"/>
                <w:rFonts w:ascii="Arial" w:eastAsia="Times New Roman" w:hAnsi="Arial"/>
                <w:sz w:val="20"/>
                <w:szCs w:val="20"/>
                <w:lang w:eastAsia="de-DE"/>
              </w:rPr>
              <w:footnoteReference w:id="2"/>
            </w:r>
            <w:r w:rsidR="00434A0B">
              <w:rPr>
                <w:rFonts w:ascii="Arial" w:eastAsia="Times New Roman" w:hAnsi="Arial" w:cs="Arial"/>
                <w:sz w:val="20"/>
                <w:szCs w:val="20"/>
                <w:lang w:eastAsia="de-DE"/>
              </w:rPr>
              <w:t xml:space="preserve"> </w:t>
            </w:r>
            <w:r w:rsidRPr="002960F6">
              <w:rPr>
                <w:rFonts w:ascii="Arial" w:eastAsia="Times New Roman" w:hAnsi="Arial" w:cs="Arial"/>
                <w:sz w:val="20"/>
                <w:szCs w:val="20"/>
                <w:lang w:eastAsia="de-DE"/>
              </w:rPr>
              <w:t>delivered at the local level in project municipalities</w:t>
            </w:r>
          </w:p>
        </w:tc>
        <w:tc>
          <w:tcPr>
            <w:tcW w:w="1985" w:type="dxa"/>
            <w:shd w:val="clear" w:color="auto" w:fill="auto"/>
            <w:vAlign w:val="center"/>
          </w:tcPr>
          <w:p w:rsidR="002960F6" w:rsidRPr="00A24629" w:rsidRDefault="002960F6" w:rsidP="002960F6">
            <w:pPr>
              <w:tabs>
                <w:tab w:val="left" w:pos="567"/>
              </w:tabs>
              <w:spacing w:after="60" w:line="200" w:lineRule="atLeast"/>
              <w:rPr>
                <w:rFonts w:ascii="Arial" w:eastAsia="Times New Roman" w:hAnsi="Arial" w:cs="Arial"/>
                <w:sz w:val="20"/>
                <w:szCs w:val="20"/>
                <w:lang w:eastAsia="de-DE"/>
              </w:rPr>
            </w:pPr>
            <w:r w:rsidRPr="00A24629">
              <w:rPr>
                <w:rFonts w:ascii="Arial" w:eastAsia="Times New Roman" w:hAnsi="Arial" w:cs="Arial"/>
                <w:sz w:val="20"/>
                <w:szCs w:val="20"/>
                <w:lang w:eastAsia="de-DE"/>
              </w:rPr>
              <w:t>Jalal-Abad – 32%</w:t>
            </w:r>
          </w:p>
          <w:p w:rsidR="002960F6" w:rsidRPr="00A24629" w:rsidRDefault="002960F6" w:rsidP="002960F6">
            <w:pPr>
              <w:spacing w:after="60" w:line="200" w:lineRule="atLeast"/>
              <w:rPr>
                <w:rFonts w:ascii="Arial" w:eastAsia="Times New Roman" w:hAnsi="Arial" w:cs="Arial"/>
                <w:sz w:val="20"/>
                <w:szCs w:val="20"/>
                <w:lang w:eastAsia="de-DE"/>
              </w:rPr>
            </w:pPr>
            <w:r w:rsidRPr="00A24629">
              <w:rPr>
                <w:rFonts w:ascii="Arial" w:eastAsia="Times New Roman" w:hAnsi="Arial" w:cs="Arial"/>
                <w:sz w:val="20"/>
                <w:szCs w:val="20"/>
                <w:lang w:eastAsia="de-DE"/>
              </w:rPr>
              <w:t xml:space="preserve">Issyk-Kul – 39% </w:t>
            </w:r>
          </w:p>
        </w:tc>
        <w:tc>
          <w:tcPr>
            <w:tcW w:w="3260" w:type="dxa"/>
            <w:shd w:val="clear" w:color="auto" w:fill="auto"/>
            <w:vAlign w:val="center"/>
          </w:tcPr>
          <w:p w:rsidR="002960F6" w:rsidRPr="00A24629" w:rsidRDefault="002960F6" w:rsidP="002960F6">
            <w:pPr>
              <w:tabs>
                <w:tab w:val="left" w:pos="567"/>
              </w:tabs>
              <w:spacing w:beforeLines="50" w:before="120" w:after="60" w:line="200" w:lineRule="atLeast"/>
              <w:rPr>
                <w:rFonts w:ascii="Arial" w:eastAsia="Times New Roman" w:hAnsi="Arial" w:cs="Arial"/>
                <w:sz w:val="20"/>
                <w:szCs w:val="20"/>
                <w:lang w:eastAsia="de-DE"/>
              </w:rPr>
            </w:pPr>
            <w:r w:rsidRPr="00A24629">
              <w:rPr>
                <w:rFonts w:ascii="Arial" w:eastAsia="Times New Roman" w:hAnsi="Arial" w:cs="Arial"/>
                <w:sz w:val="20"/>
                <w:szCs w:val="20"/>
                <w:lang w:eastAsia="de-DE"/>
              </w:rPr>
              <w:t xml:space="preserve">As minimum: </w:t>
            </w:r>
          </w:p>
          <w:p w:rsidR="002960F6" w:rsidRPr="00A24629" w:rsidRDefault="002960F6" w:rsidP="002960F6">
            <w:pPr>
              <w:tabs>
                <w:tab w:val="left" w:pos="567"/>
              </w:tabs>
              <w:spacing w:after="60" w:line="200" w:lineRule="atLeast"/>
              <w:rPr>
                <w:rFonts w:ascii="Arial" w:eastAsia="Times New Roman" w:hAnsi="Arial" w:cs="Arial"/>
                <w:sz w:val="20"/>
                <w:szCs w:val="20"/>
                <w:lang w:eastAsia="de-DE"/>
              </w:rPr>
            </w:pPr>
            <w:r w:rsidRPr="00A24629">
              <w:rPr>
                <w:rFonts w:ascii="Arial" w:eastAsia="Times New Roman" w:hAnsi="Arial" w:cs="Arial"/>
                <w:sz w:val="20"/>
                <w:szCs w:val="20"/>
                <w:lang w:eastAsia="de-DE"/>
              </w:rPr>
              <w:t>Jalal-Abad – 47%</w:t>
            </w:r>
          </w:p>
          <w:p w:rsidR="002960F6" w:rsidRPr="00A24629" w:rsidRDefault="002960F6" w:rsidP="002960F6">
            <w:pPr>
              <w:spacing w:afterLines="40" w:after="96" w:line="200" w:lineRule="atLeast"/>
              <w:rPr>
                <w:rFonts w:ascii="Arial" w:eastAsia="Times New Roman" w:hAnsi="Arial" w:cs="Arial"/>
                <w:sz w:val="20"/>
                <w:szCs w:val="20"/>
                <w:lang w:eastAsia="de-DE"/>
              </w:rPr>
            </w:pPr>
            <w:r w:rsidRPr="00A24629">
              <w:rPr>
                <w:rFonts w:ascii="Arial" w:eastAsia="Times New Roman" w:hAnsi="Arial" w:cs="Arial"/>
                <w:sz w:val="20"/>
                <w:szCs w:val="20"/>
                <w:lang w:eastAsia="de-DE"/>
              </w:rPr>
              <w:t>Issyk-Kul – 54%</w:t>
            </w:r>
          </w:p>
        </w:tc>
        <w:tc>
          <w:tcPr>
            <w:tcW w:w="1710"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1798"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r>
      <w:tr w:rsidR="002960F6" w:rsidRPr="002960F6" w:rsidTr="009427A4">
        <w:tc>
          <w:tcPr>
            <w:tcW w:w="2830" w:type="dxa"/>
            <w:gridSpan w:val="2"/>
            <w:tcBorders>
              <w:right w:val="single" w:sz="6" w:space="0" w:color="000000"/>
            </w:tcBorders>
            <w:shd w:val="clear" w:color="auto" w:fill="BDD6EE"/>
            <w:vAlign w:val="center"/>
          </w:tcPr>
          <w:p w:rsidR="002960F6" w:rsidRPr="002960F6" w:rsidRDefault="002960F6" w:rsidP="002960F6">
            <w:pPr>
              <w:spacing w:beforeLines="40" w:before="96" w:afterLines="40" w:after="96" w:line="200" w:lineRule="atLeast"/>
              <w:jc w:val="center"/>
              <w:rPr>
                <w:rFonts w:ascii="Arial" w:eastAsia="Times New Roman" w:hAnsi="Arial" w:cs="Arial"/>
                <w:sz w:val="20"/>
                <w:szCs w:val="20"/>
                <w:lang w:eastAsia="de-DE"/>
              </w:rPr>
            </w:pPr>
            <w:r w:rsidRPr="002960F6">
              <w:rPr>
                <w:rFonts w:ascii="Arial" w:eastAsia="Times New Roman" w:hAnsi="Arial" w:cs="Arial"/>
                <w:b/>
                <w:sz w:val="20"/>
                <w:szCs w:val="20"/>
                <w:lang w:val="en-GB" w:eastAsia="de-DE"/>
              </w:rPr>
              <w:t>Outcomes</w:t>
            </w:r>
          </w:p>
        </w:tc>
        <w:tc>
          <w:tcPr>
            <w:tcW w:w="4111" w:type="dxa"/>
            <w:gridSpan w:val="2"/>
            <w:shd w:val="clear" w:color="auto" w:fill="BDD6EE"/>
            <w:vAlign w:val="center"/>
          </w:tcPr>
          <w:p w:rsidR="002960F6" w:rsidRPr="002960F6" w:rsidRDefault="002960F6" w:rsidP="002960F6">
            <w:pPr>
              <w:spacing w:beforeLines="40" w:before="96" w:afterLines="40" w:after="96" w:line="200" w:lineRule="atLeast"/>
              <w:jc w:val="center"/>
              <w:rPr>
                <w:rFonts w:ascii="Arial" w:eastAsia="Times New Roman" w:hAnsi="Arial" w:cs="Arial"/>
                <w:sz w:val="20"/>
                <w:szCs w:val="20"/>
                <w:lang w:eastAsia="de-DE"/>
              </w:rPr>
            </w:pPr>
            <w:r w:rsidRPr="002960F6">
              <w:rPr>
                <w:rFonts w:ascii="Arial" w:eastAsia="Times New Roman" w:hAnsi="Arial" w:cs="Arial"/>
                <w:b/>
                <w:sz w:val="20"/>
                <w:szCs w:val="20"/>
                <w:lang w:val="en-GB" w:eastAsia="de-DE"/>
              </w:rPr>
              <w:t>Outcome Indicators</w:t>
            </w:r>
          </w:p>
        </w:tc>
        <w:tc>
          <w:tcPr>
            <w:tcW w:w="1985" w:type="dxa"/>
            <w:shd w:val="clear" w:color="auto" w:fill="BDD6EE"/>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3260" w:type="dxa"/>
            <w:shd w:val="clear" w:color="auto" w:fill="BDD6EE"/>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1710" w:type="dxa"/>
            <w:shd w:val="clear" w:color="auto" w:fill="BDD6EE"/>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1798" w:type="dxa"/>
            <w:shd w:val="clear" w:color="auto" w:fill="BDD6EE"/>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r>
      <w:tr w:rsidR="002960F6" w:rsidRPr="002960F6" w:rsidTr="002960F6">
        <w:trPr>
          <w:trHeight w:val="634"/>
        </w:trPr>
        <w:tc>
          <w:tcPr>
            <w:tcW w:w="741" w:type="dxa"/>
            <w:vMerge w:val="restart"/>
            <w:tcBorders>
              <w:right w:val="single" w:sz="6" w:space="0" w:color="000000"/>
            </w:tcBorders>
            <w:shd w:val="clear" w:color="auto" w:fill="auto"/>
            <w:textDirection w:val="btLr"/>
            <w:vAlign w:val="center"/>
          </w:tcPr>
          <w:p w:rsidR="002960F6" w:rsidRPr="002960F6" w:rsidRDefault="002960F6" w:rsidP="002960F6">
            <w:pPr>
              <w:spacing w:beforeLines="40" w:before="96" w:afterLines="40" w:after="96" w:line="200" w:lineRule="atLeast"/>
              <w:ind w:left="113" w:right="113"/>
              <w:jc w:val="center"/>
              <w:rPr>
                <w:rFonts w:ascii="Arial" w:eastAsia="Times New Roman" w:hAnsi="Arial" w:cs="Arial"/>
                <w:b/>
                <w:sz w:val="20"/>
                <w:szCs w:val="20"/>
                <w:lang w:eastAsia="de-DE"/>
              </w:rPr>
            </w:pPr>
            <w:r w:rsidRPr="002960F6">
              <w:rPr>
                <w:rFonts w:ascii="Arial" w:eastAsia="Times New Roman" w:hAnsi="Arial" w:cs="Arial"/>
                <w:b/>
                <w:sz w:val="20"/>
                <w:szCs w:val="20"/>
                <w:lang w:eastAsia="de-DE"/>
              </w:rPr>
              <w:t>Outcome 1</w:t>
            </w:r>
          </w:p>
        </w:tc>
        <w:tc>
          <w:tcPr>
            <w:tcW w:w="2089" w:type="dxa"/>
            <w:vMerge w:val="restart"/>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b/>
                <w:sz w:val="20"/>
                <w:szCs w:val="20"/>
                <w:lang w:eastAsia="de-DE"/>
              </w:rPr>
            </w:pPr>
            <w:r w:rsidRPr="002960F6">
              <w:rPr>
                <w:rFonts w:ascii="Arial" w:eastAsia="Times New Roman" w:hAnsi="Arial" w:cs="Arial"/>
                <w:b/>
                <w:sz w:val="20"/>
                <w:szCs w:val="20"/>
                <w:lang w:eastAsia="de-DE"/>
              </w:rPr>
              <w:t>Citizens enjoy sustainable cost-effective services from local service providers</w:t>
            </w:r>
            <w:r w:rsidRPr="002960F6" w:rsidDel="005C1211">
              <w:rPr>
                <w:rFonts w:ascii="Arial" w:eastAsia="Times New Roman" w:hAnsi="Arial" w:cs="Arial"/>
                <w:b/>
                <w:sz w:val="20"/>
                <w:szCs w:val="20"/>
                <w:lang w:eastAsia="de-DE"/>
              </w:rPr>
              <w:t xml:space="preserve"> </w:t>
            </w:r>
          </w:p>
        </w:tc>
        <w:tc>
          <w:tcPr>
            <w:tcW w:w="567"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5.</w:t>
            </w:r>
          </w:p>
        </w:tc>
        <w:tc>
          <w:tcPr>
            <w:tcW w:w="3544"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 interviewed citizens (men and women) in project municipalities who are satisfied with the quality of the selected priority services</w:t>
            </w:r>
          </w:p>
        </w:tc>
        <w:tc>
          <w:tcPr>
            <w:tcW w:w="1985" w:type="dxa"/>
            <w:shd w:val="clear" w:color="auto" w:fill="auto"/>
            <w:vAlign w:val="center"/>
          </w:tcPr>
          <w:p w:rsidR="002960F6" w:rsidRPr="00A24629" w:rsidRDefault="002960F6" w:rsidP="002960F6">
            <w:pPr>
              <w:spacing w:after="60" w:line="200" w:lineRule="atLeast"/>
              <w:rPr>
                <w:rFonts w:ascii="Arial" w:eastAsia="Times New Roman" w:hAnsi="Arial" w:cs="Arial"/>
                <w:color w:val="000000"/>
                <w:sz w:val="20"/>
                <w:szCs w:val="20"/>
                <w:lang w:eastAsia="de-DE"/>
              </w:rPr>
            </w:pPr>
            <w:r w:rsidRPr="00A24629">
              <w:rPr>
                <w:rFonts w:ascii="Arial" w:eastAsia="Times New Roman" w:hAnsi="Arial" w:cs="Arial"/>
                <w:color w:val="000000"/>
                <w:sz w:val="20"/>
                <w:szCs w:val="20"/>
                <w:lang w:eastAsia="de-DE"/>
              </w:rPr>
              <w:t>Men – 34%</w:t>
            </w:r>
          </w:p>
          <w:p w:rsidR="002960F6" w:rsidRPr="00A24629" w:rsidRDefault="002960F6" w:rsidP="002960F6">
            <w:pPr>
              <w:spacing w:after="60" w:line="200" w:lineRule="atLeast"/>
              <w:rPr>
                <w:rFonts w:ascii="Arial" w:eastAsia="Times New Roman" w:hAnsi="Arial" w:cs="Arial"/>
                <w:color w:val="000000"/>
                <w:sz w:val="20"/>
                <w:szCs w:val="20"/>
                <w:lang w:eastAsia="de-DE"/>
              </w:rPr>
            </w:pPr>
            <w:r w:rsidRPr="00A24629">
              <w:rPr>
                <w:rFonts w:ascii="Arial" w:eastAsia="Times New Roman" w:hAnsi="Arial" w:cs="Arial"/>
                <w:color w:val="000000"/>
                <w:sz w:val="20"/>
                <w:szCs w:val="20"/>
                <w:lang w:eastAsia="de-DE"/>
              </w:rPr>
              <w:t>Women – 35%</w:t>
            </w:r>
          </w:p>
          <w:p w:rsidR="002960F6" w:rsidRPr="00A24629" w:rsidRDefault="002960F6" w:rsidP="002960F6">
            <w:pPr>
              <w:spacing w:after="60" w:line="200" w:lineRule="atLeast"/>
              <w:rPr>
                <w:rFonts w:ascii="Arial" w:eastAsia="Times New Roman" w:hAnsi="Arial" w:cs="Arial"/>
                <w:color w:val="000000"/>
                <w:sz w:val="20"/>
                <w:szCs w:val="20"/>
                <w:lang w:eastAsia="de-DE"/>
              </w:rPr>
            </w:pPr>
          </w:p>
        </w:tc>
        <w:tc>
          <w:tcPr>
            <w:tcW w:w="3260" w:type="dxa"/>
            <w:shd w:val="clear" w:color="auto" w:fill="auto"/>
            <w:vAlign w:val="center"/>
          </w:tcPr>
          <w:p w:rsidR="002960F6" w:rsidRPr="00A24629" w:rsidRDefault="002960F6" w:rsidP="002960F6">
            <w:pPr>
              <w:spacing w:after="60" w:line="200" w:lineRule="atLeast"/>
              <w:rPr>
                <w:rFonts w:ascii="Arial" w:eastAsia="Times New Roman" w:hAnsi="Arial" w:cs="Arial"/>
                <w:sz w:val="20"/>
                <w:szCs w:val="20"/>
                <w:lang w:eastAsia="de-DE"/>
              </w:rPr>
            </w:pPr>
            <w:r w:rsidRPr="00A24629">
              <w:rPr>
                <w:rFonts w:ascii="Arial" w:eastAsia="Times New Roman" w:hAnsi="Arial" w:cs="Arial"/>
                <w:sz w:val="20"/>
                <w:szCs w:val="20"/>
                <w:lang w:eastAsia="de-DE"/>
              </w:rPr>
              <w:t>As minimum:</w:t>
            </w:r>
          </w:p>
          <w:p w:rsidR="002960F6" w:rsidRPr="00A24629" w:rsidRDefault="002960F6" w:rsidP="002960F6">
            <w:pPr>
              <w:spacing w:after="60" w:line="200" w:lineRule="atLeast"/>
              <w:rPr>
                <w:rFonts w:ascii="Arial" w:eastAsia="Times New Roman" w:hAnsi="Arial" w:cs="Arial"/>
                <w:color w:val="000000"/>
                <w:sz w:val="20"/>
                <w:szCs w:val="20"/>
                <w:lang w:val="en-GB" w:eastAsia="de-DE"/>
              </w:rPr>
            </w:pPr>
            <w:r w:rsidRPr="00A24629">
              <w:rPr>
                <w:rFonts w:ascii="Arial" w:eastAsia="Times New Roman" w:hAnsi="Arial" w:cs="Arial"/>
                <w:color w:val="000000"/>
                <w:sz w:val="20"/>
                <w:szCs w:val="20"/>
                <w:lang w:val="en-GB" w:eastAsia="de-DE"/>
              </w:rPr>
              <w:t>Men – 49%</w:t>
            </w:r>
          </w:p>
          <w:p w:rsidR="002960F6" w:rsidRPr="00A24629" w:rsidRDefault="002960F6" w:rsidP="002960F6">
            <w:pPr>
              <w:spacing w:after="60" w:line="200" w:lineRule="atLeast"/>
              <w:rPr>
                <w:rFonts w:ascii="Arial" w:eastAsia="Times New Roman" w:hAnsi="Arial" w:cs="Arial"/>
                <w:sz w:val="20"/>
                <w:szCs w:val="20"/>
                <w:lang w:eastAsia="de-DE"/>
              </w:rPr>
            </w:pPr>
            <w:r w:rsidRPr="00A24629">
              <w:rPr>
                <w:rFonts w:ascii="Arial" w:eastAsia="Times New Roman" w:hAnsi="Arial" w:cs="Arial"/>
                <w:color w:val="000000"/>
                <w:sz w:val="20"/>
                <w:szCs w:val="20"/>
                <w:lang w:val="en-GB" w:eastAsia="de-DE"/>
              </w:rPr>
              <w:t>Women – 50%</w:t>
            </w:r>
          </w:p>
        </w:tc>
        <w:tc>
          <w:tcPr>
            <w:tcW w:w="1710" w:type="dxa"/>
            <w:vMerge w:val="restart"/>
            <w:shd w:val="clear" w:color="auto" w:fill="auto"/>
            <w:vAlign w:val="center"/>
          </w:tcPr>
          <w:p w:rsidR="002960F6" w:rsidRPr="002960F6" w:rsidRDefault="002960F6" w:rsidP="002960F6">
            <w:pPr>
              <w:spacing w:before="40" w:after="40"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 xml:space="preserve">Citizen survey </w:t>
            </w:r>
          </w:p>
          <w:p w:rsidR="002960F6" w:rsidRPr="002960F6" w:rsidRDefault="002960F6" w:rsidP="002960F6">
            <w:pPr>
              <w:spacing w:before="40" w:after="40" w:line="200" w:lineRule="atLeast"/>
              <w:rPr>
                <w:rFonts w:ascii="Arial" w:eastAsia="Times New Roman" w:hAnsi="Arial" w:cs="Arial"/>
                <w:sz w:val="20"/>
                <w:szCs w:val="20"/>
                <w:lang w:eastAsia="de-DE"/>
              </w:rPr>
            </w:pPr>
          </w:p>
          <w:p w:rsidR="002960F6" w:rsidRPr="002960F6" w:rsidRDefault="002960F6" w:rsidP="002960F6">
            <w:pPr>
              <w:spacing w:before="40" w:after="40"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Citizen’s perception survey on service quality delivery</w:t>
            </w:r>
          </w:p>
        </w:tc>
        <w:tc>
          <w:tcPr>
            <w:tcW w:w="1798" w:type="dxa"/>
            <w:vMerge w:val="restart"/>
            <w:shd w:val="clear" w:color="auto" w:fill="auto"/>
            <w:vAlign w:val="center"/>
          </w:tcPr>
          <w:p w:rsidR="002960F6" w:rsidRPr="002960F6" w:rsidRDefault="002960F6" w:rsidP="002960F6">
            <w:pPr>
              <w:spacing w:before="40" w:after="40"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 xml:space="preserve">Municipal budgets allow cost tracking for individual services </w:t>
            </w:r>
          </w:p>
          <w:p w:rsidR="002960F6" w:rsidRPr="002960F6" w:rsidRDefault="002960F6" w:rsidP="002960F6">
            <w:pPr>
              <w:spacing w:before="40" w:after="40" w:line="200" w:lineRule="atLeast"/>
              <w:rPr>
                <w:rFonts w:ascii="Arial" w:eastAsia="Times New Roman" w:hAnsi="Arial" w:cs="Arial"/>
                <w:sz w:val="20"/>
                <w:szCs w:val="20"/>
                <w:lang w:eastAsia="de-DE"/>
              </w:rPr>
            </w:pPr>
          </w:p>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Service provision is a legal obligation of LSGs</w:t>
            </w:r>
          </w:p>
        </w:tc>
      </w:tr>
      <w:tr w:rsidR="002960F6" w:rsidRPr="002960F6" w:rsidTr="009427A4">
        <w:tc>
          <w:tcPr>
            <w:tcW w:w="741" w:type="dxa"/>
            <w:vMerge/>
            <w:tcBorders>
              <w:right w:val="single" w:sz="6" w:space="0" w:color="000000"/>
            </w:tcBorders>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2089"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567"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6.</w:t>
            </w:r>
          </w:p>
        </w:tc>
        <w:tc>
          <w:tcPr>
            <w:tcW w:w="3544" w:type="dxa"/>
            <w:shd w:val="clear" w:color="auto" w:fill="auto"/>
            <w:vAlign w:val="center"/>
          </w:tcPr>
          <w:p w:rsidR="002960F6" w:rsidRPr="002960F6" w:rsidRDefault="002960F6" w:rsidP="002960F6">
            <w:pPr>
              <w:tabs>
                <w:tab w:val="left" w:pos="567"/>
              </w:tabs>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 of project municipalities that have improved at least one priority public service</w:t>
            </w:r>
          </w:p>
        </w:tc>
        <w:tc>
          <w:tcPr>
            <w:tcW w:w="1985"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color w:val="000000"/>
                <w:sz w:val="20"/>
                <w:szCs w:val="20"/>
                <w:lang w:val="en-GB" w:eastAsia="de-DE"/>
              </w:rPr>
              <w:t>Project start: Zero point</w:t>
            </w:r>
          </w:p>
        </w:tc>
        <w:tc>
          <w:tcPr>
            <w:tcW w:w="3260" w:type="dxa"/>
            <w:shd w:val="clear" w:color="auto" w:fill="auto"/>
            <w:vAlign w:val="center"/>
          </w:tcPr>
          <w:p w:rsidR="002960F6" w:rsidRPr="002960F6" w:rsidRDefault="002960F6" w:rsidP="00B44117">
            <w:pPr>
              <w:spacing w:before="40" w:after="40" w:line="200" w:lineRule="atLeast"/>
              <w:rPr>
                <w:rFonts w:ascii="Arial" w:eastAsia="Times New Roman" w:hAnsi="Arial" w:cs="Arial"/>
                <w:color w:val="000000"/>
                <w:sz w:val="20"/>
                <w:szCs w:val="20"/>
                <w:lang w:eastAsia="ru-RU"/>
              </w:rPr>
            </w:pPr>
            <w:r w:rsidRPr="002960F6">
              <w:rPr>
                <w:rFonts w:ascii="Arial" w:eastAsia="Times New Roman" w:hAnsi="Arial" w:cs="Arial"/>
                <w:color w:val="000000"/>
                <w:sz w:val="20"/>
                <w:szCs w:val="20"/>
                <w:lang w:eastAsia="de-DE"/>
              </w:rPr>
              <w:t>60% of the Project municipalities</w:t>
            </w:r>
            <w:r w:rsidR="00EA2973">
              <w:rPr>
                <w:rFonts w:ascii="Arial" w:eastAsia="Times New Roman" w:hAnsi="Arial" w:cs="Arial"/>
                <w:color w:val="000000"/>
                <w:sz w:val="20"/>
                <w:szCs w:val="20"/>
                <w:lang w:eastAsia="de-DE"/>
              </w:rPr>
              <w:t xml:space="preserve"> (18)</w:t>
            </w:r>
            <w:r w:rsidRPr="002960F6">
              <w:rPr>
                <w:rFonts w:ascii="Arial" w:eastAsia="Times New Roman" w:hAnsi="Arial" w:cs="Arial"/>
                <w:color w:val="000000"/>
                <w:sz w:val="20"/>
                <w:szCs w:val="20"/>
                <w:lang w:eastAsia="de-DE"/>
              </w:rPr>
              <w:t xml:space="preserve">, which have improved </w:t>
            </w:r>
            <w:r w:rsidR="00B44117" w:rsidRPr="00B44117">
              <w:rPr>
                <w:rFonts w:ascii="Arial" w:eastAsia="Times New Roman" w:hAnsi="Arial" w:cs="Arial"/>
                <w:color w:val="000000"/>
                <w:sz w:val="20"/>
                <w:szCs w:val="20"/>
                <w:lang w:eastAsia="de-DE"/>
              </w:rPr>
              <w:t xml:space="preserve">at least </w:t>
            </w:r>
            <w:r w:rsidRPr="002960F6">
              <w:rPr>
                <w:rFonts w:ascii="Arial" w:eastAsia="Times New Roman" w:hAnsi="Arial" w:cs="Arial"/>
                <w:color w:val="000000"/>
                <w:sz w:val="20"/>
                <w:szCs w:val="20"/>
                <w:lang w:eastAsia="de-DE"/>
              </w:rPr>
              <w:t xml:space="preserve">one priority service </w:t>
            </w:r>
          </w:p>
        </w:tc>
        <w:tc>
          <w:tcPr>
            <w:tcW w:w="1710"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1798"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r>
      <w:tr w:rsidR="002960F6" w:rsidRPr="002960F6" w:rsidTr="009427A4">
        <w:tc>
          <w:tcPr>
            <w:tcW w:w="741" w:type="dxa"/>
            <w:vMerge/>
            <w:tcBorders>
              <w:right w:val="single" w:sz="6" w:space="0" w:color="000000"/>
            </w:tcBorders>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2089"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567"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7.</w:t>
            </w:r>
          </w:p>
        </w:tc>
        <w:tc>
          <w:tcPr>
            <w:tcW w:w="3544"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 vulnerable citizens (women, marginalized groups and ethnic minorities) who have improved access to their prioritized local public services</w:t>
            </w:r>
          </w:p>
        </w:tc>
        <w:tc>
          <w:tcPr>
            <w:tcW w:w="1985"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color w:val="000000"/>
                <w:sz w:val="20"/>
                <w:szCs w:val="20"/>
                <w:lang w:val="en-GB" w:eastAsia="de-DE"/>
              </w:rPr>
              <w:t>Project start: Zero point</w:t>
            </w:r>
          </w:p>
        </w:tc>
        <w:tc>
          <w:tcPr>
            <w:tcW w:w="3260" w:type="dxa"/>
            <w:shd w:val="clear" w:color="auto" w:fill="auto"/>
            <w:vAlign w:val="center"/>
          </w:tcPr>
          <w:p w:rsidR="002960F6" w:rsidRPr="002960F6" w:rsidRDefault="002960F6" w:rsidP="002960F6">
            <w:pPr>
              <w:spacing w:before="40" w:after="40" w:line="200" w:lineRule="atLeast"/>
              <w:rPr>
                <w:rFonts w:ascii="Arial" w:eastAsia="Times New Roman" w:hAnsi="Arial" w:cs="Arial"/>
                <w:color w:val="000000"/>
                <w:sz w:val="20"/>
                <w:szCs w:val="20"/>
                <w:lang w:eastAsia="ru-RU"/>
              </w:rPr>
            </w:pPr>
            <w:r w:rsidRPr="002960F6">
              <w:rPr>
                <w:rFonts w:ascii="Arial" w:eastAsia="Times New Roman" w:hAnsi="Arial" w:cs="Arial"/>
                <w:color w:val="000000"/>
                <w:sz w:val="20"/>
                <w:szCs w:val="20"/>
                <w:lang w:eastAsia="de-DE"/>
              </w:rPr>
              <w:t>at least 30% of vulnerable citizens in Project municipalities have improved access to priority services</w:t>
            </w:r>
          </w:p>
        </w:tc>
        <w:tc>
          <w:tcPr>
            <w:tcW w:w="1710"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1798"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r>
      <w:tr w:rsidR="00B44117" w:rsidRPr="002960F6" w:rsidTr="00434A0B">
        <w:trPr>
          <w:trHeight w:val="1235"/>
        </w:trPr>
        <w:tc>
          <w:tcPr>
            <w:tcW w:w="741" w:type="dxa"/>
            <w:vMerge/>
            <w:tcBorders>
              <w:right w:val="single" w:sz="6" w:space="0" w:color="000000"/>
            </w:tcBorders>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2089"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567"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8.</w:t>
            </w:r>
          </w:p>
        </w:tc>
        <w:tc>
          <w:tcPr>
            <w:tcW w:w="3544"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A24629">
              <w:rPr>
                <w:rFonts w:ascii="Arial" w:eastAsia="Times New Roman" w:hAnsi="Arial" w:cs="Arial"/>
                <w:sz w:val="20"/>
                <w:szCs w:val="20"/>
                <w:lang w:eastAsia="de-DE"/>
              </w:rPr>
              <w:t>#</w:t>
            </w:r>
            <w:r w:rsidRPr="002960F6">
              <w:rPr>
                <w:rFonts w:ascii="Arial" w:eastAsia="Times New Roman" w:hAnsi="Arial" w:cs="Arial"/>
                <w:sz w:val="20"/>
                <w:szCs w:val="20"/>
                <w:lang w:eastAsia="de-DE"/>
              </w:rPr>
              <w:t xml:space="preserve"> of service providers who are cost-effective</w:t>
            </w:r>
          </w:p>
        </w:tc>
        <w:tc>
          <w:tcPr>
            <w:tcW w:w="1985"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color w:val="000000"/>
                <w:sz w:val="20"/>
                <w:szCs w:val="20"/>
                <w:lang w:val="en-GB" w:eastAsia="de-DE"/>
              </w:rPr>
              <w:t>Project start: Zero point</w:t>
            </w:r>
          </w:p>
        </w:tc>
        <w:tc>
          <w:tcPr>
            <w:tcW w:w="3260"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B44117">
              <w:rPr>
                <w:rFonts w:ascii="Arial" w:eastAsia="Times New Roman" w:hAnsi="Arial" w:cs="Arial"/>
                <w:color w:val="000000"/>
                <w:sz w:val="20"/>
                <w:szCs w:val="20"/>
                <w:lang w:eastAsia="de-DE"/>
              </w:rPr>
              <w:t>At least one provider is cost-effective in 60% of Project municipalities</w:t>
            </w:r>
          </w:p>
        </w:tc>
        <w:tc>
          <w:tcPr>
            <w:tcW w:w="1710"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1798"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r>
      <w:tr w:rsidR="002960F6" w:rsidRPr="002960F6" w:rsidTr="009427A4">
        <w:tc>
          <w:tcPr>
            <w:tcW w:w="741" w:type="dxa"/>
            <w:vMerge w:val="restart"/>
            <w:tcBorders>
              <w:right w:val="single" w:sz="6" w:space="0" w:color="000000"/>
            </w:tcBorders>
            <w:shd w:val="clear" w:color="auto" w:fill="auto"/>
            <w:textDirection w:val="btLr"/>
            <w:vAlign w:val="center"/>
          </w:tcPr>
          <w:p w:rsidR="002960F6" w:rsidRPr="002960F6" w:rsidRDefault="002960F6" w:rsidP="002960F6">
            <w:pPr>
              <w:spacing w:beforeLines="40" w:before="96" w:afterLines="40" w:after="96" w:line="200" w:lineRule="atLeast"/>
              <w:ind w:left="113" w:right="113"/>
              <w:jc w:val="center"/>
              <w:rPr>
                <w:rFonts w:ascii="Arial" w:eastAsia="Times New Roman" w:hAnsi="Arial" w:cs="Arial"/>
                <w:sz w:val="20"/>
                <w:szCs w:val="20"/>
                <w:lang w:val="en-GB" w:eastAsia="de-DE"/>
              </w:rPr>
            </w:pPr>
            <w:r w:rsidRPr="002960F6">
              <w:rPr>
                <w:rFonts w:ascii="Arial" w:eastAsia="Times New Roman" w:hAnsi="Arial" w:cs="Arial"/>
                <w:b/>
                <w:sz w:val="20"/>
                <w:szCs w:val="20"/>
                <w:lang w:eastAsia="de-DE"/>
              </w:rPr>
              <w:t>Outcome 2</w:t>
            </w:r>
          </w:p>
        </w:tc>
        <w:tc>
          <w:tcPr>
            <w:tcW w:w="2089" w:type="dxa"/>
            <w:vMerge w:val="restart"/>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b/>
                <w:sz w:val="20"/>
                <w:szCs w:val="20"/>
                <w:lang w:eastAsia="de-DE"/>
              </w:rPr>
              <w:t xml:space="preserve">Effective stakeholder </w:t>
            </w:r>
            <w:r w:rsidRPr="002960F6">
              <w:rPr>
                <w:rFonts w:ascii="Arial" w:eastAsia="Times New Roman" w:hAnsi="Arial" w:cs="Arial"/>
                <w:b/>
                <w:sz w:val="20"/>
                <w:szCs w:val="20"/>
                <w:lang w:eastAsia="de-DE"/>
              </w:rPr>
              <w:lastRenderedPageBreak/>
              <w:t>interaction system for public service improvements is in place</w:t>
            </w:r>
          </w:p>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567"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lastRenderedPageBreak/>
              <w:t>9.</w:t>
            </w:r>
          </w:p>
        </w:tc>
        <w:tc>
          <w:tcPr>
            <w:tcW w:w="3544"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 xml:space="preserve"># of municipalities that have institutionalized </w:t>
            </w:r>
            <w:r w:rsidRPr="002960F6">
              <w:rPr>
                <w:rFonts w:ascii="Arial" w:eastAsia="Times New Roman" w:hAnsi="Arial" w:cs="Arial"/>
                <w:sz w:val="20"/>
                <w:szCs w:val="20"/>
                <w:lang w:eastAsia="de-DE"/>
              </w:rPr>
              <w:lastRenderedPageBreak/>
              <w:t>service improvement request mechanisms for citizens</w:t>
            </w:r>
          </w:p>
        </w:tc>
        <w:tc>
          <w:tcPr>
            <w:tcW w:w="1985"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color w:val="000000"/>
                <w:sz w:val="20"/>
                <w:szCs w:val="20"/>
                <w:lang w:val="en-GB" w:eastAsia="de-DE"/>
              </w:rPr>
              <w:lastRenderedPageBreak/>
              <w:t>Project start: Zero point</w:t>
            </w:r>
          </w:p>
        </w:tc>
        <w:tc>
          <w:tcPr>
            <w:tcW w:w="3260" w:type="dxa"/>
            <w:shd w:val="clear" w:color="auto" w:fill="auto"/>
            <w:vAlign w:val="center"/>
          </w:tcPr>
          <w:p w:rsidR="002960F6" w:rsidRPr="002960F6" w:rsidRDefault="002960F6" w:rsidP="002960F6">
            <w:pPr>
              <w:spacing w:before="40" w:after="40" w:line="200" w:lineRule="atLeast"/>
              <w:rPr>
                <w:rFonts w:ascii="Arial" w:eastAsia="Times New Roman" w:hAnsi="Arial" w:cs="Arial"/>
                <w:color w:val="000000"/>
                <w:sz w:val="20"/>
                <w:szCs w:val="20"/>
                <w:lang w:eastAsia="ru-RU"/>
              </w:rPr>
            </w:pPr>
            <w:r w:rsidRPr="002960F6">
              <w:rPr>
                <w:rFonts w:ascii="Arial" w:eastAsia="Times New Roman" w:hAnsi="Arial" w:cs="Arial"/>
                <w:color w:val="000000"/>
                <w:sz w:val="20"/>
                <w:szCs w:val="20"/>
                <w:lang w:eastAsia="de-DE"/>
              </w:rPr>
              <w:t xml:space="preserve">All Project municipalities (30) adopted request </w:t>
            </w:r>
            <w:r w:rsidRPr="002960F6">
              <w:rPr>
                <w:rFonts w:ascii="Arial" w:eastAsia="Times New Roman" w:hAnsi="Arial" w:cs="Arial"/>
                <w:color w:val="000000"/>
                <w:sz w:val="20"/>
                <w:szCs w:val="20"/>
                <w:lang w:eastAsia="de-DE"/>
              </w:rPr>
              <w:lastRenderedPageBreak/>
              <w:t xml:space="preserve">mechanism for citizens in order to improve services </w:t>
            </w:r>
          </w:p>
        </w:tc>
        <w:tc>
          <w:tcPr>
            <w:tcW w:w="1710" w:type="dxa"/>
            <w:vMerge w:val="restart"/>
            <w:shd w:val="clear" w:color="auto" w:fill="auto"/>
            <w:vAlign w:val="center"/>
          </w:tcPr>
          <w:p w:rsidR="002960F6" w:rsidRPr="002960F6" w:rsidRDefault="002960F6" w:rsidP="002960F6">
            <w:pPr>
              <w:spacing w:before="40" w:after="40"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lastRenderedPageBreak/>
              <w:t xml:space="preserve">Council protocols, </w:t>
            </w:r>
            <w:r w:rsidRPr="002960F6">
              <w:rPr>
                <w:rFonts w:ascii="Arial" w:eastAsia="Times New Roman" w:hAnsi="Arial" w:cs="Arial"/>
                <w:sz w:val="20"/>
                <w:szCs w:val="20"/>
                <w:lang w:eastAsia="de-DE"/>
              </w:rPr>
              <w:lastRenderedPageBreak/>
              <w:t>project verification</w:t>
            </w:r>
          </w:p>
          <w:p w:rsidR="002960F6" w:rsidRPr="002960F6" w:rsidRDefault="002960F6" w:rsidP="002960F6">
            <w:pPr>
              <w:spacing w:before="40" w:after="40" w:line="200" w:lineRule="atLeast"/>
              <w:rPr>
                <w:rFonts w:ascii="Arial" w:eastAsia="Times New Roman" w:hAnsi="Arial" w:cs="Arial"/>
                <w:sz w:val="20"/>
                <w:szCs w:val="20"/>
                <w:lang w:eastAsia="de-DE"/>
              </w:rPr>
            </w:pPr>
          </w:p>
          <w:p w:rsidR="002960F6" w:rsidRPr="002960F6" w:rsidRDefault="002960F6" w:rsidP="002960F6">
            <w:pPr>
              <w:spacing w:before="40" w:after="40"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Council protocols, written replies by service providers</w:t>
            </w:r>
          </w:p>
          <w:p w:rsidR="002960F6" w:rsidRPr="002960F6" w:rsidRDefault="002960F6" w:rsidP="002960F6">
            <w:pPr>
              <w:spacing w:before="40" w:after="40" w:line="200" w:lineRule="atLeast"/>
              <w:rPr>
                <w:rFonts w:ascii="Arial" w:eastAsia="Times New Roman" w:hAnsi="Arial" w:cs="Arial"/>
                <w:sz w:val="20"/>
                <w:szCs w:val="20"/>
                <w:lang w:eastAsia="de-DE"/>
              </w:rPr>
            </w:pPr>
          </w:p>
          <w:p w:rsidR="002960F6" w:rsidRPr="002960F6" w:rsidRDefault="002960F6" w:rsidP="002960F6">
            <w:pPr>
              <w:spacing w:before="40" w:after="40"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Municipality survey</w:t>
            </w:r>
          </w:p>
          <w:p w:rsidR="002960F6" w:rsidRPr="002960F6" w:rsidRDefault="002960F6" w:rsidP="002960F6">
            <w:pPr>
              <w:spacing w:before="40" w:after="40" w:line="200" w:lineRule="atLeast"/>
              <w:rPr>
                <w:rFonts w:ascii="Arial" w:eastAsia="Times New Roman" w:hAnsi="Arial" w:cs="Arial"/>
                <w:sz w:val="20"/>
                <w:szCs w:val="20"/>
                <w:lang w:eastAsia="de-DE"/>
              </w:rPr>
            </w:pPr>
          </w:p>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 xml:space="preserve">Decisions of LSG bodies (Councils and </w:t>
            </w:r>
            <w:proofErr w:type="spellStart"/>
            <w:r w:rsidRPr="002960F6">
              <w:rPr>
                <w:rFonts w:ascii="Arial" w:eastAsia="Times New Roman" w:hAnsi="Arial" w:cs="Arial"/>
                <w:sz w:val="20"/>
                <w:szCs w:val="20"/>
                <w:lang w:eastAsia="de-DE"/>
              </w:rPr>
              <w:t>Aiyl</w:t>
            </w:r>
            <w:proofErr w:type="spellEnd"/>
            <w:r w:rsidRPr="002960F6">
              <w:rPr>
                <w:rFonts w:ascii="Arial" w:eastAsia="Times New Roman" w:hAnsi="Arial" w:cs="Arial"/>
                <w:sz w:val="20"/>
                <w:szCs w:val="20"/>
                <w:lang w:eastAsia="de-DE"/>
              </w:rPr>
              <w:t xml:space="preserve"> </w:t>
            </w:r>
            <w:proofErr w:type="spellStart"/>
            <w:r w:rsidRPr="002960F6">
              <w:rPr>
                <w:rFonts w:ascii="Arial" w:eastAsia="Times New Roman" w:hAnsi="Arial" w:cs="Arial"/>
                <w:sz w:val="20"/>
                <w:szCs w:val="20"/>
                <w:lang w:eastAsia="de-DE"/>
              </w:rPr>
              <w:t>Okmotu</w:t>
            </w:r>
            <w:proofErr w:type="spellEnd"/>
            <w:r w:rsidRPr="002960F6">
              <w:rPr>
                <w:rFonts w:ascii="Arial" w:eastAsia="Times New Roman" w:hAnsi="Arial" w:cs="Arial"/>
                <w:sz w:val="20"/>
                <w:szCs w:val="20"/>
                <w:lang w:eastAsia="de-DE"/>
              </w:rPr>
              <w:t>)</w:t>
            </w:r>
          </w:p>
        </w:tc>
        <w:tc>
          <w:tcPr>
            <w:tcW w:w="1798" w:type="dxa"/>
            <w:vMerge w:val="restart"/>
            <w:shd w:val="clear" w:color="auto" w:fill="auto"/>
            <w:vAlign w:val="center"/>
          </w:tcPr>
          <w:p w:rsidR="002960F6" w:rsidRPr="002960F6" w:rsidRDefault="002960F6" w:rsidP="002960F6">
            <w:pPr>
              <w:spacing w:before="40" w:after="40"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lastRenderedPageBreak/>
              <w:t xml:space="preserve">LSGs are authorized to </w:t>
            </w:r>
            <w:r w:rsidRPr="002960F6">
              <w:rPr>
                <w:rFonts w:ascii="Arial" w:eastAsia="Times New Roman" w:hAnsi="Arial" w:cs="Arial"/>
                <w:sz w:val="20"/>
                <w:szCs w:val="20"/>
                <w:lang w:eastAsia="de-DE"/>
              </w:rPr>
              <w:lastRenderedPageBreak/>
              <w:t>adopt regulations in the area of interaction with the community and in the service sector</w:t>
            </w:r>
          </w:p>
        </w:tc>
      </w:tr>
      <w:tr w:rsidR="002960F6" w:rsidRPr="002960F6" w:rsidTr="009427A4">
        <w:tc>
          <w:tcPr>
            <w:tcW w:w="741" w:type="dxa"/>
            <w:vMerge/>
            <w:tcBorders>
              <w:right w:val="single" w:sz="6" w:space="0" w:color="000000"/>
            </w:tcBorders>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2089"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567"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10.</w:t>
            </w:r>
          </w:p>
        </w:tc>
        <w:tc>
          <w:tcPr>
            <w:tcW w:w="3544"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 of municipalities that have institutionalized monitoring mechanisms of service providers</w:t>
            </w:r>
          </w:p>
        </w:tc>
        <w:tc>
          <w:tcPr>
            <w:tcW w:w="1985"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color w:val="000000"/>
                <w:sz w:val="20"/>
                <w:szCs w:val="20"/>
                <w:lang w:val="en-GB" w:eastAsia="de-DE"/>
              </w:rPr>
              <w:t>Project start: Zero point</w:t>
            </w:r>
          </w:p>
        </w:tc>
        <w:tc>
          <w:tcPr>
            <w:tcW w:w="3260" w:type="dxa"/>
            <w:shd w:val="clear" w:color="auto" w:fill="auto"/>
            <w:vAlign w:val="center"/>
          </w:tcPr>
          <w:p w:rsidR="002960F6" w:rsidRPr="002960F6" w:rsidRDefault="002960F6" w:rsidP="002960F6">
            <w:pPr>
              <w:spacing w:before="40" w:after="40" w:line="200" w:lineRule="atLeast"/>
              <w:rPr>
                <w:rFonts w:ascii="Arial" w:eastAsia="Times New Roman" w:hAnsi="Arial" w:cs="Arial"/>
                <w:color w:val="000000"/>
                <w:sz w:val="20"/>
                <w:szCs w:val="20"/>
                <w:lang w:eastAsia="ru-RU"/>
              </w:rPr>
            </w:pPr>
            <w:r w:rsidRPr="002960F6">
              <w:rPr>
                <w:rFonts w:ascii="Arial" w:eastAsia="Times New Roman" w:hAnsi="Arial" w:cs="Arial"/>
                <w:color w:val="000000"/>
                <w:sz w:val="20"/>
                <w:szCs w:val="20"/>
                <w:lang w:eastAsia="de-DE"/>
              </w:rPr>
              <w:t xml:space="preserve">All Project municipalities (30) adopted monitoring mechanism of the service providers </w:t>
            </w:r>
          </w:p>
        </w:tc>
        <w:tc>
          <w:tcPr>
            <w:tcW w:w="1710"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1798"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r>
      <w:tr w:rsidR="002960F6" w:rsidRPr="002960F6" w:rsidTr="009427A4">
        <w:tc>
          <w:tcPr>
            <w:tcW w:w="741" w:type="dxa"/>
            <w:vMerge/>
            <w:tcBorders>
              <w:right w:val="single" w:sz="6" w:space="0" w:color="000000"/>
            </w:tcBorders>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2089"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567"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11.</w:t>
            </w:r>
          </w:p>
        </w:tc>
        <w:tc>
          <w:tcPr>
            <w:tcW w:w="3544"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#of municipalities that are satisfied with the work of SALSGIR and the Union of LSG</w:t>
            </w:r>
          </w:p>
        </w:tc>
        <w:tc>
          <w:tcPr>
            <w:tcW w:w="1985" w:type="dxa"/>
            <w:shd w:val="clear" w:color="auto" w:fill="auto"/>
            <w:vAlign w:val="center"/>
          </w:tcPr>
          <w:p w:rsidR="002960F6" w:rsidRPr="002960F6" w:rsidRDefault="002960F6" w:rsidP="002960F6">
            <w:pPr>
              <w:spacing w:after="60" w:line="200" w:lineRule="atLeast"/>
              <w:rPr>
                <w:rFonts w:ascii="Arial" w:eastAsia="Times New Roman" w:hAnsi="Arial" w:cs="Arial"/>
                <w:sz w:val="20"/>
                <w:szCs w:val="20"/>
                <w:lang w:eastAsia="de-DE"/>
              </w:rPr>
            </w:pPr>
            <w:r w:rsidRPr="00A24629">
              <w:rPr>
                <w:rFonts w:ascii="Arial" w:eastAsia="Times New Roman" w:hAnsi="Arial" w:cs="Arial"/>
                <w:sz w:val="20"/>
                <w:szCs w:val="20"/>
                <w:lang w:eastAsia="de-DE"/>
              </w:rPr>
              <w:t>7 of 30 municipalities (SALSGIR) 3 of 30 municipalities (LSG Union)</w:t>
            </w:r>
          </w:p>
        </w:tc>
        <w:tc>
          <w:tcPr>
            <w:tcW w:w="3260"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color w:val="000000"/>
                <w:sz w:val="20"/>
                <w:szCs w:val="20"/>
                <w:lang w:eastAsia="de-DE"/>
              </w:rPr>
              <w:t>At least 50% of the Project municipalities (15) satisfied by the work of SALSGIR and the Union of LSG</w:t>
            </w:r>
            <w:bookmarkStart w:id="0" w:name="_GoBack"/>
            <w:bookmarkEnd w:id="0"/>
          </w:p>
        </w:tc>
        <w:tc>
          <w:tcPr>
            <w:tcW w:w="1710"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1798"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r>
      <w:tr w:rsidR="002960F6" w:rsidRPr="002960F6" w:rsidTr="009427A4">
        <w:tc>
          <w:tcPr>
            <w:tcW w:w="741" w:type="dxa"/>
            <w:vMerge/>
            <w:tcBorders>
              <w:right w:val="single" w:sz="6" w:space="0" w:color="000000"/>
            </w:tcBorders>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2089"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567"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12.</w:t>
            </w:r>
          </w:p>
        </w:tc>
        <w:tc>
          <w:tcPr>
            <w:tcW w:w="3544"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 of legislative changes introduced at the local level that contribute to the improvement of public services</w:t>
            </w:r>
          </w:p>
        </w:tc>
        <w:tc>
          <w:tcPr>
            <w:tcW w:w="1985"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color w:val="000000"/>
                <w:sz w:val="20"/>
                <w:szCs w:val="20"/>
                <w:lang w:val="en-GB" w:eastAsia="de-DE"/>
              </w:rPr>
              <w:t>Project start: Zero point</w:t>
            </w:r>
          </w:p>
        </w:tc>
        <w:tc>
          <w:tcPr>
            <w:tcW w:w="3260"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color w:val="000000"/>
                <w:sz w:val="20"/>
                <w:szCs w:val="20"/>
                <w:lang w:eastAsia="de-DE"/>
              </w:rPr>
              <w:t>There is at least one NLA in every Project municipality, which contributes to service improvement at the local level</w:t>
            </w:r>
          </w:p>
        </w:tc>
        <w:tc>
          <w:tcPr>
            <w:tcW w:w="1710"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1798"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r>
      <w:tr w:rsidR="002960F6" w:rsidRPr="002960F6" w:rsidTr="009427A4">
        <w:tc>
          <w:tcPr>
            <w:tcW w:w="2830" w:type="dxa"/>
            <w:gridSpan w:val="2"/>
            <w:tcBorders>
              <w:right w:val="single" w:sz="6" w:space="0" w:color="000000"/>
            </w:tcBorders>
            <w:shd w:val="clear" w:color="auto" w:fill="F7CAAC"/>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b/>
                <w:sz w:val="20"/>
                <w:szCs w:val="20"/>
                <w:lang w:eastAsia="de-DE"/>
              </w:rPr>
              <w:t>Outputs (per outcome) and costs</w:t>
            </w:r>
          </w:p>
        </w:tc>
        <w:tc>
          <w:tcPr>
            <w:tcW w:w="4111" w:type="dxa"/>
            <w:gridSpan w:val="2"/>
            <w:shd w:val="clear" w:color="auto" w:fill="F7CAAC"/>
            <w:vAlign w:val="center"/>
          </w:tcPr>
          <w:p w:rsidR="002960F6" w:rsidRPr="002960F6" w:rsidRDefault="002960F6" w:rsidP="002960F6">
            <w:pPr>
              <w:spacing w:beforeLines="40" w:before="96" w:afterLines="40" w:after="96" w:line="200" w:lineRule="atLeast"/>
              <w:jc w:val="center"/>
              <w:rPr>
                <w:rFonts w:ascii="Arial" w:eastAsia="Times New Roman" w:hAnsi="Arial" w:cs="Arial"/>
                <w:sz w:val="20"/>
                <w:szCs w:val="20"/>
                <w:lang w:eastAsia="de-DE"/>
              </w:rPr>
            </w:pPr>
            <w:r w:rsidRPr="002960F6">
              <w:rPr>
                <w:rFonts w:ascii="Arial" w:eastAsia="Times New Roman" w:hAnsi="Arial" w:cs="Arial"/>
                <w:b/>
                <w:sz w:val="20"/>
                <w:szCs w:val="20"/>
                <w:lang w:val="en-GB" w:eastAsia="de-DE"/>
              </w:rPr>
              <w:t>Output Indicators</w:t>
            </w:r>
          </w:p>
        </w:tc>
        <w:tc>
          <w:tcPr>
            <w:tcW w:w="1985" w:type="dxa"/>
            <w:shd w:val="clear" w:color="auto" w:fill="F7CAAC"/>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3260" w:type="dxa"/>
            <w:shd w:val="clear" w:color="auto" w:fill="F7CAAC"/>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1710" w:type="dxa"/>
            <w:shd w:val="clear" w:color="auto" w:fill="F7CAAC"/>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1798" w:type="dxa"/>
            <w:shd w:val="clear" w:color="auto" w:fill="F7CAAC"/>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r>
      <w:tr w:rsidR="002960F6" w:rsidRPr="002960F6" w:rsidTr="009427A4">
        <w:tc>
          <w:tcPr>
            <w:tcW w:w="15694" w:type="dxa"/>
            <w:gridSpan w:val="8"/>
            <w:tcBorders>
              <w:right w:val="single" w:sz="6" w:space="0" w:color="000000"/>
            </w:tcBorders>
            <w:shd w:val="clear" w:color="auto" w:fill="BDD6EE"/>
            <w:vAlign w:val="center"/>
          </w:tcPr>
          <w:p w:rsidR="002960F6" w:rsidRPr="002960F6" w:rsidRDefault="002960F6" w:rsidP="002960F6">
            <w:pPr>
              <w:spacing w:beforeLines="40" w:before="96" w:afterLines="40" w:after="96" w:line="200" w:lineRule="atLeast"/>
              <w:rPr>
                <w:rFonts w:ascii="Arial" w:eastAsia="Times New Roman" w:hAnsi="Arial" w:cs="Arial"/>
                <w:b/>
                <w:sz w:val="20"/>
                <w:szCs w:val="20"/>
                <w:lang w:eastAsia="de-DE"/>
              </w:rPr>
            </w:pPr>
            <w:r w:rsidRPr="002960F6">
              <w:rPr>
                <w:rFonts w:ascii="Arial" w:eastAsia="Times New Roman" w:hAnsi="Arial" w:cs="Arial"/>
                <w:b/>
                <w:sz w:val="20"/>
                <w:szCs w:val="20"/>
                <w:lang w:eastAsia="de-DE"/>
              </w:rPr>
              <w:t>For outcome 1: Citizens enjoy sustainable cost-effective services from local service providers</w:t>
            </w:r>
            <w:r w:rsidRPr="002960F6" w:rsidDel="005C1211">
              <w:rPr>
                <w:rFonts w:ascii="Arial" w:eastAsia="Times New Roman" w:hAnsi="Arial" w:cs="Arial"/>
                <w:b/>
                <w:sz w:val="20"/>
                <w:szCs w:val="20"/>
                <w:lang w:eastAsia="de-DE"/>
              </w:rPr>
              <w:t xml:space="preserve"> </w:t>
            </w:r>
          </w:p>
        </w:tc>
      </w:tr>
      <w:tr w:rsidR="002960F6" w:rsidRPr="002960F6" w:rsidTr="009427A4">
        <w:tc>
          <w:tcPr>
            <w:tcW w:w="741" w:type="dxa"/>
            <w:vMerge w:val="restart"/>
            <w:tcBorders>
              <w:right w:val="single" w:sz="6" w:space="0" w:color="000000"/>
            </w:tcBorders>
            <w:shd w:val="clear" w:color="auto" w:fill="auto"/>
            <w:textDirection w:val="btLr"/>
            <w:vAlign w:val="center"/>
          </w:tcPr>
          <w:p w:rsidR="002960F6" w:rsidRPr="002960F6" w:rsidRDefault="002960F6" w:rsidP="002960F6">
            <w:pPr>
              <w:spacing w:beforeLines="40" w:before="96" w:afterLines="40" w:after="96" w:line="200" w:lineRule="atLeast"/>
              <w:ind w:left="113" w:right="113"/>
              <w:jc w:val="center"/>
              <w:rPr>
                <w:rFonts w:ascii="Arial" w:eastAsia="Times New Roman" w:hAnsi="Arial" w:cs="Arial"/>
                <w:b/>
                <w:sz w:val="20"/>
                <w:szCs w:val="20"/>
                <w:lang w:eastAsia="de-DE"/>
              </w:rPr>
            </w:pPr>
            <w:r w:rsidRPr="002960F6">
              <w:rPr>
                <w:rFonts w:ascii="Arial" w:eastAsia="Times New Roman" w:hAnsi="Arial" w:cs="Arial"/>
                <w:b/>
                <w:sz w:val="20"/>
                <w:szCs w:val="20"/>
                <w:lang w:val="en-GB" w:eastAsia="de-DE"/>
              </w:rPr>
              <w:t>Out</w:t>
            </w:r>
            <w:r w:rsidRPr="002960F6">
              <w:rPr>
                <w:rFonts w:ascii="Arial" w:eastAsia="Times New Roman" w:hAnsi="Arial" w:cs="Arial"/>
                <w:b/>
                <w:sz w:val="20"/>
                <w:szCs w:val="20"/>
                <w:lang w:eastAsia="de-DE"/>
              </w:rPr>
              <w:t>put 1.1</w:t>
            </w:r>
          </w:p>
        </w:tc>
        <w:tc>
          <w:tcPr>
            <w:tcW w:w="2089" w:type="dxa"/>
            <w:vMerge w:val="restart"/>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b/>
                <w:sz w:val="20"/>
                <w:szCs w:val="20"/>
                <w:lang w:eastAsia="de-DE"/>
              </w:rPr>
            </w:pPr>
            <w:r w:rsidRPr="002960F6">
              <w:rPr>
                <w:rFonts w:ascii="Arial" w:eastAsia="Times New Roman" w:hAnsi="Arial" w:cs="Arial"/>
                <w:b/>
                <w:sz w:val="20"/>
                <w:szCs w:val="20"/>
                <w:lang w:eastAsia="de-DE"/>
              </w:rPr>
              <w:t>The service providers on a local level practice client-oriented management behavior</w:t>
            </w:r>
            <w:r w:rsidRPr="002960F6" w:rsidDel="005C1211">
              <w:rPr>
                <w:rFonts w:ascii="Arial" w:eastAsia="Times New Roman" w:hAnsi="Arial" w:cs="Arial"/>
                <w:b/>
                <w:sz w:val="20"/>
                <w:szCs w:val="20"/>
                <w:lang w:eastAsia="de-DE"/>
              </w:rPr>
              <w:t xml:space="preserve"> </w:t>
            </w:r>
          </w:p>
        </w:tc>
        <w:tc>
          <w:tcPr>
            <w:tcW w:w="567"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13.</w:t>
            </w:r>
          </w:p>
        </w:tc>
        <w:tc>
          <w:tcPr>
            <w:tcW w:w="3544" w:type="dxa"/>
            <w:shd w:val="clear" w:color="auto" w:fill="auto"/>
            <w:vAlign w:val="center"/>
          </w:tcPr>
          <w:p w:rsidR="002960F6" w:rsidRPr="002960F6" w:rsidRDefault="002960F6" w:rsidP="002960F6">
            <w:pPr>
              <w:tabs>
                <w:tab w:val="left" w:pos="567"/>
              </w:tabs>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 (municipal or private) public service providers have result-based budgets in place</w:t>
            </w:r>
          </w:p>
        </w:tc>
        <w:tc>
          <w:tcPr>
            <w:tcW w:w="1985"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color w:val="000000"/>
                <w:sz w:val="20"/>
                <w:szCs w:val="20"/>
                <w:lang w:val="en-GB" w:eastAsia="de-DE"/>
              </w:rPr>
              <w:t>Project start: Zero point</w:t>
            </w:r>
          </w:p>
        </w:tc>
        <w:tc>
          <w:tcPr>
            <w:tcW w:w="3260" w:type="dxa"/>
            <w:shd w:val="clear" w:color="auto" w:fill="auto"/>
            <w:vAlign w:val="center"/>
          </w:tcPr>
          <w:p w:rsidR="002960F6" w:rsidRPr="002960F6" w:rsidRDefault="002960F6" w:rsidP="002960F6">
            <w:pPr>
              <w:spacing w:before="40" w:after="40" w:line="200" w:lineRule="atLeast"/>
              <w:rPr>
                <w:rFonts w:ascii="Arial" w:eastAsia="Times New Roman" w:hAnsi="Arial" w:cs="Arial"/>
                <w:color w:val="000000"/>
                <w:sz w:val="20"/>
                <w:szCs w:val="20"/>
                <w:lang w:eastAsia="ru-RU"/>
              </w:rPr>
            </w:pPr>
            <w:r w:rsidRPr="002960F6">
              <w:rPr>
                <w:rFonts w:ascii="Arial" w:eastAsia="Times New Roman" w:hAnsi="Arial" w:cs="Arial"/>
                <w:color w:val="000000"/>
                <w:sz w:val="20"/>
                <w:szCs w:val="20"/>
                <w:lang w:eastAsia="de-DE"/>
              </w:rPr>
              <w:t xml:space="preserve">At least 60% of the Project municipalities (18) have at least one service provider holding the result based-budget  </w:t>
            </w:r>
          </w:p>
        </w:tc>
        <w:tc>
          <w:tcPr>
            <w:tcW w:w="1710" w:type="dxa"/>
            <w:vMerge w:val="restart"/>
            <w:shd w:val="clear" w:color="auto" w:fill="auto"/>
            <w:vAlign w:val="center"/>
          </w:tcPr>
          <w:p w:rsidR="002960F6" w:rsidRPr="002960F6" w:rsidRDefault="002960F6" w:rsidP="002960F6">
            <w:pPr>
              <w:tabs>
                <w:tab w:val="left" w:pos="567"/>
              </w:tabs>
              <w:spacing w:before="40" w:after="40"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Budget of service providers</w:t>
            </w:r>
          </w:p>
        </w:tc>
        <w:tc>
          <w:tcPr>
            <w:tcW w:w="1798" w:type="dxa"/>
            <w:vMerge w:val="restart"/>
            <w:shd w:val="clear" w:color="auto" w:fill="auto"/>
            <w:vAlign w:val="center"/>
          </w:tcPr>
          <w:p w:rsidR="002960F6" w:rsidRPr="002960F6" w:rsidRDefault="002960F6" w:rsidP="002960F6">
            <w:pPr>
              <w:spacing w:before="40" w:after="40"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 xml:space="preserve">No state limitations for result-based budgeting of service providers </w:t>
            </w:r>
          </w:p>
        </w:tc>
      </w:tr>
      <w:tr w:rsidR="002960F6" w:rsidRPr="002960F6" w:rsidTr="009427A4">
        <w:tc>
          <w:tcPr>
            <w:tcW w:w="741" w:type="dxa"/>
            <w:vMerge/>
            <w:tcBorders>
              <w:right w:val="single" w:sz="6" w:space="0" w:color="000000"/>
            </w:tcBorders>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2089"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567"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14.</w:t>
            </w:r>
          </w:p>
        </w:tc>
        <w:tc>
          <w:tcPr>
            <w:tcW w:w="3544" w:type="dxa"/>
            <w:shd w:val="clear" w:color="auto" w:fill="auto"/>
            <w:vAlign w:val="center"/>
          </w:tcPr>
          <w:p w:rsidR="002960F6" w:rsidRPr="002960F6" w:rsidRDefault="002960F6" w:rsidP="002960F6">
            <w:pPr>
              <w:tabs>
                <w:tab w:val="left" w:pos="567"/>
              </w:tabs>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 self-financed service provision schemes</w:t>
            </w:r>
          </w:p>
        </w:tc>
        <w:tc>
          <w:tcPr>
            <w:tcW w:w="1985"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color w:val="000000"/>
                <w:sz w:val="20"/>
                <w:szCs w:val="20"/>
                <w:lang w:val="en-GB" w:eastAsia="de-DE"/>
              </w:rPr>
              <w:t>Project start: Zero point</w:t>
            </w:r>
          </w:p>
        </w:tc>
        <w:tc>
          <w:tcPr>
            <w:tcW w:w="3260"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color w:val="000000"/>
                <w:sz w:val="20"/>
                <w:szCs w:val="20"/>
                <w:lang w:eastAsia="de-DE"/>
              </w:rPr>
              <w:t>For applicable services: 100% of services</w:t>
            </w:r>
          </w:p>
        </w:tc>
        <w:tc>
          <w:tcPr>
            <w:tcW w:w="1710"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1798"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r>
      <w:tr w:rsidR="002960F6" w:rsidRPr="002960F6" w:rsidTr="009427A4">
        <w:tc>
          <w:tcPr>
            <w:tcW w:w="15694" w:type="dxa"/>
            <w:gridSpan w:val="8"/>
            <w:tcBorders>
              <w:right w:val="single" w:sz="6" w:space="0" w:color="000000"/>
            </w:tcBorders>
            <w:shd w:val="clear" w:color="auto" w:fill="C5E0B3"/>
            <w:vAlign w:val="center"/>
          </w:tcPr>
          <w:p w:rsidR="002960F6" w:rsidRPr="002960F6" w:rsidRDefault="002960F6" w:rsidP="002960F6">
            <w:pPr>
              <w:spacing w:beforeLines="40" w:before="96" w:afterLines="40" w:after="96" w:line="200" w:lineRule="atLeast"/>
              <w:rPr>
                <w:rFonts w:ascii="Arial" w:eastAsia="Times New Roman" w:hAnsi="Arial" w:cs="Arial"/>
                <w:b/>
                <w:i/>
                <w:sz w:val="20"/>
                <w:szCs w:val="20"/>
                <w:lang w:eastAsia="de-DE"/>
              </w:rPr>
            </w:pPr>
            <w:r w:rsidRPr="002960F6">
              <w:rPr>
                <w:rFonts w:ascii="Arial" w:eastAsia="Times New Roman" w:hAnsi="Arial" w:cs="Arial"/>
                <w:b/>
                <w:sz w:val="20"/>
                <w:szCs w:val="20"/>
                <w:lang w:eastAsia="de-DE"/>
              </w:rPr>
              <w:t xml:space="preserve">Activities per output 1.1. </w:t>
            </w:r>
            <w:r w:rsidRPr="002960F6">
              <w:rPr>
                <w:rFonts w:ascii="Arial" w:eastAsia="Times New Roman" w:hAnsi="Arial" w:cs="Arial"/>
                <w:b/>
                <w:i/>
                <w:sz w:val="20"/>
                <w:szCs w:val="20"/>
                <w:lang w:eastAsia="de-DE"/>
              </w:rPr>
              <w:t>The service providers on a local level practice client-oriented management behavior</w:t>
            </w:r>
            <w:r w:rsidRPr="002960F6" w:rsidDel="005C1211">
              <w:rPr>
                <w:rFonts w:ascii="Arial" w:eastAsia="Times New Roman" w:hAnsi="Arial" w:cs="Arial"/>
                <w:b/>
                <w:i/>
                <w:sz w:val="20"/>
                <w:szCs w:val="20"/>
                <w:lang w:eastAsia="de-DE"/>
              </w:rPr>
              <w:t xml:space="preserve"> </w:t>
            </w:r>
          </w:p>
        </w:tc>
      </w:tr>
      <w:tr w:rsidR="002960F6" w:rsidRPr="002960F6" w:rsidTr="009427A4">
        <w:trPr>
          <w:cantSplit/>
          <w:trHeight w:val="1134"/>
        </w:trPr>
        <w:tc>
          <w:tcPr>
            <w:tcW w:w="15694" w:type="dxa"/>
            <w:gridSpan w:val="8"/>
            <w:tcBorders>
              <w:right w:val="single" w:sz="6" w:space="0" w:color="000000"/>
            </w:tcBorders>
            <w:shd w:val="clear" w:color="auto" w:fill="auto"/>
            <w:vAlign w:val="center"/>
          </w:tcPr>
          <w:p w:rsidR="002960F6" w:rsidRPr="002960F6" w:rsidRDefault="002960F6" w:rsidP="002960F6">
            <w:pPr>
              <w:spacing w:beforeLines="40" w:before="96" w:afterLines="40" w:after="96" w:line="200" w:lineRule="atLeast"/>
              <w:ind w:left="360"/>
              <w:rPr>
                <w:rFonts w:ascii="Arial" w:eastAsia="Calibri" w:hAnsi="Arial" w:cs="Arial"/>
                <w:sz w:val="20"/>
                <w:szCs w:val="20"/>
                <w:lang w:eastAsia="de-DE"/>
              </w:rPr>
            </w:pPr>
            <w:r w:rsidRPr="002960F6">
              <w:rPr>
                <w:rFonts w:ascii="Arial" w:eastAsia="Times New Roman" w:hAnsi="Arial" w:cs="Arial"/>
                <w:b/>
                <w:sz w:val="20"/>
                <w:szCs w:val="20"/>
                <w:lang w:eastAsia="de-DE"/>
              </w:rPr>
              <w:lastRenderedPageBreak/>
              <w:t>List of activities for output 1.1</w:t>
            </w:r>
          </w:p>
          <w:p w:rsidR="002960F6" w:rsidRPr="002960F6" w:rsidRDefault="002960F6" w:rsidP="002960F6">
            <w:pPr>
              <w:numPr>
                <w:ilvl w:val="0"/>
                <w:numId w:val="2"/>
              </w:numPr>
              <w:spacing w:beforeLines="40" w:before="96" w:afterLines="40" w:after="96" w:line="240" w:lineRule="auto"/>
              <w:rPr>
                <w:rFonts w:ascii="Arial" w:eastAsia="Calibri" w:hAnsi="Arial" w:cs="Arial"/>
                <w:sz w:val="20"/>
                <w:szCs w:val="20"/>
                <w:lang w:eastAsia="de-DE"/>
              </w:rPr>
            </w:pPr>
            <w:r w:rsidRPr="002960F6">
              <w:rPr>
                <w:rFonts w:ascii="Arial" w:eastAsia="Calibri" w:hAnsi="Arial" w:cs="Arial"/>
                <w:sz w:val="20"/>
                <w:szCs w:val="20"/>
                <w:lang w:eastAsia="de-DE"/>
              </w:rPr>
              <w:t>Providing trainings to service providers on achievement of cost effectiveness, management and planning, defining KPIs</w:t>
            </w:r>
          </w:p>
          <w:p w:rsidR="002960F6" w:rsidRPr="002960F6" w:rsidRDefault="002960F6" w:rsidP="002960F6">
            <w:pPr>
              <w:numPr>
                <w:ilvl w:val="0"/>
                <w:numId w:val="2"/>
              </w:numPr>
              <w:spacing w:beforeLines="40" w:before="96" w:afterLines="40" w:after="96" w:line="240" w:lineRule="auto"/>
              <w:rPr>
                <w:rFonts w:ascii="Arial" w:eastAsia="Calibri" w:hAnsi="Arial" w:cs="Arial"/>
                <w:sz w:val="20"/>
                <w:szCs w:val="20"/>
                <w:lang w:eastAsia="de-DE"/>
              </w:rPr>
            </w:pPr>
            <w:r w:rsidRPr="002960F6">
              <w:rPr>
                <w:rFonts w:ascii="Arial" w:eastAsia="Calibri" w:hAnsi="Arial" w:cs="Arial"/>
                <w:sz w:val="20"/>
                <w:szCs w:val="20"/>
                <w:lang w:eastAsia="de-DE"/>
              </w:rPr>
              <w:t xml:space="preserve">Providing presentation to service providers and LSGs on models of service delivery provision and awareness raising on innovative technologies </w:t>
            </w:r>
          </w:p>
          <w:p w:rsidR="002960F6" w:rsidRPr="002960F6" w:rsidRDefault="002960F6" w:rsidP="002960F6">
            <w:pPr>
              <w:spacing w:beforeLines="40" w:before="96" w:afterLines="40" w:after="96" w:line="200" w:lineRule="atLeast"/>
              <w:ind w:left="360"/>
              <w:rPr>
                <w:rFonts w:ascii="Arial" w:eastAsia="Calibri" w:hAnsi="Arial" w:cs="Arial"/>
                <w:sz w:val="20"/>
                <w:szCs w:val="20"/>
                <w:lang w:eastAsia="de-DE"/>
              </w:rPr>
            </w:pPr>
            <w:r w:rsidRPr="002960F6">
              <w:rPr>
                <w:rFonts w:ascii="Arial" w:eastAsia="Calibri" w:hAnsi="Arial" w:cs="Arial"/>
                <w:sz w:val="20"/>
                <w:szCs w:val="20"/>
                <w:lang w:eastAsia="de-DE"/>
              </w:rPr>
              <w:t>(PPPs, inter municipal cooperation, fee collection)</w:t>
            </w:r>
          </w:p>
          <w:p w:rsidR="002960F6" w:rsidRPr="002960F6" w:rsidRDefault="002960F6" w:rsidP="002960F6">
            <w:pPr>
              <w:numPr>
                <w:ilvl w:val="0"/>
                <w:numId w:val="2"/>
              </w:numPr>
              <w:spacing w:beforeLines="40" w:before="96" w:afterLines="40" w:after="96" w:line="240" w:lineRule="auto"/>
              <w:rPr>
                <w:rFonts w:ascii="Arial" w:eastAsia="Calibri" w:hAnsi="Arial" w:cs="Arial"/>
                <w:sz w:val="20"/>
                <w:szCs w:val="20"/>
                <w:lang w:eastAsia="de-DE"/>
              </w:rPr>
            </w:pPr>
            <w:r w:rsidRPr="002960F6">
              <w:rPr>
                <w:rFonts w:ascii="Arial" w:eastAsia="Calibri" w:hAnsi="Arial" w:cs="Arial"/>
                <w:sz w:val="20"/>
                <w:szCs w:val="20"/>
                <w:lang w:eastAsia="de-DE"/>
              </w:rPr>
              <w:t>Training and coaching for LSGs on formation of municipal order and local registers</w:t>
            </w:r>
          </w:p>
          <w:p w:rsidR="002960F6" w:rsidRPr="002960F6" w:rsidRDefault="002960F6" w:rsidP="002960F6">
            <w:pPr>
              <w:numPr>
                <w:ilvl w:val="0"/>
                <w:numId w:val="2"/>
              </w:numPr>
              <w:spacing w:beforeLines="40" w:before="96" w:afterLines="40" w:after="96" w:line="240" w:lineRule="auto"/>
              <w:rPr>
                <w:rFonts w:ascii="Arial" w:eastAsia="Times New Roman" w:hAnsi="Arial" w:cs="Arial"/>
                <w:sz w:val="20"/>
                <w:szCs w:val="20"/>
                <w:lang w:eastAsia="de-DE"/>
              </w:rPr>
            </w:pPr>
            <w:r w:rsidRPr="002960F6">
              <w:rPr>
                <w:rFonts w:ascii="Arial" w:eastAsia="Calibri" w:hAnsi="Arial" w:cs="Arial"/>
                <w:sz w:val="20"/>
                <w:szCs w:val="20"/>
                <w:lang w:eastAsia="de-DE"/>
              </w:rPr>
              <w:t>Training on types of service providers contracting (external control mechanism, customer-based orientation)</w:t>
            </w:r>
          </w:p>
          <w:p w:rsidR="002960F6" w:rsidRPr="002960F6" w:rsidRDefault="002960F6" w:rsidP="002960F6">
            <w:pPr>
              <w:numPr>
                <w:ilvl w:val="0"/>
                <w:numId w:val="2"/>
              </w:numPr>
              <w:spacing w:beforeLines="40" w:before="96" w:afterLines="40" w:after="96" w:line="240" w:lineRule="auto"/>
              <w:rPr>
                <w:rFonts w:ascii="Arial" w:eastAsia="Times New Roman" w:hAnsi="Arial" w:cs="Arial"/>
                <w:sz w:val="20"/>
                <w:szCs w:val="20"/>
                <w:lang w:eastAsia="de-DE"/>
              </w:rPr>
            </w:pPr>
            <w:r w:rsidRPr="002960F6">
              <w:rPr>
                <w:rFonts w:ascii="Arial" w:eastAsia="Calibri" w:hAnsi="Arial" w:cs="Arial"/>
                <w:sz w:val="20"/>
                <w:szCs w:val="20"/>
                <w:lang w:eastAsia="de-DE"/>
              </w:rPr>
              <w:t>Supporting LSGs in awareness raising on tariffs and fees for public services</w:t>
            </w:r>
          </w:p>
        </w:tc>
      </w:tr>
      <w:tr w:rsidR="002960F6" w:rsidRPr="002960F6" w:rsidTr="009427A4">
        <w:tc>
          <w:tcPr>
            <w:tcW w:w="741" w:type="dxa"/>
            <w:vMerge w:val="restart"/>
            <w:tcBorders>
              <w:right w:val="single" w:sz="6" w:space="0" w:color="000000"/>
            </w:tcBorders>
            <w:shd w:val="clear" w:color="auto" w:fill="auto"/>
            <w:textDirection w:val="btLr"/>
            <w:vAlign w:val="center"/>
          </w:tcPr>
          <w:p w:rsidR="002960F6" w:rsidRPr="002960F6" w:rsidRDefault="002960F6" w:rsidP="002960F6">
            <w:pPr>
              <w:spacing w:beforeLines="40" w:before="96" w:afterLines="40" w:after="96" w:line="200" w:lineRule="atLeast"/>
              <w:ind w:left="113" w:right="113"/>
              <w:jc w:val="center"/>
              <w:rPr>
                <w:rFonts w:ascii="Arial" w:eastAsia="Times New Roman" w:hAnsi="Arial" w:cs="Arial"/>
                <w:b/>
                <w:sz w:val="20"/>
                <w:szCs w:val="20"/>
                <w:lang w:eastAsia="de-DE"/>
              </w:rPr>
            </w:pPr>
            <w:r w:rsidRPr="002960F6">
              <w:rPr>
                <w:rFonts w:ascii="Arial" w:eastAsia="Times New Roman" w:hAnsi="Arial" w:cs="Arial"/>
                <w:b/>
                <w:sz w:val="20"/>
                <w:szCs w:val="20"/>
                <w:lang w:eastAsia="de-DE"/>
              </w:rPr>
              <w:t>Output 1.2</w:t>
            </w:r>
          </w:p>
        </w:tc>
        <w:tc>
          <w:tcPr>
            <w:tcW w:w="2089" w:type="dxa"/>
            <w:vMerge w:val="restart"/>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b/>
                <w:sz w:val="20"/>
                <w:szCs w:val="20"/>
                <w:lang w:eastAsia="de-DE"/>
              </w:rPr>
            </w:pPr>
            <w:r w:rsidRPr="002960F6">
              <w:rPr>
                <w:rFonts w:ascii="Arial" w:eastAsia="Times New Roman" w:hAnsi="Arial" w:cs="Arial"/>
                <w:b/>
                <w:sz w:val="20"/>
                <w:szCs w:val="20"/>
                <w:lang w:eastAsia="de-DE"/>
              </w:rPr>
              <w:t xml:space="preserve">Municipalities adopt public service improvement mechanisms </w:t>
            </w:r>
          </w:p>
        </w:tc>
        <w:tc>
          <w:tcPr>
            <w:tcW w:w="567"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15.</w:t>
            </w:r>
          </w:p>
        </w:tc>
        <w:tc>
          <w:tcPr>
            <w:tcW w:w="3544"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 of project municipalities have applied SIAP tool to improve at least one priority public service</w:t>
            </w:r>
          </w:p>
        </w:tc>
        <w:tc>
          <w:tcPr>
            <w:tcW w:w="1985"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color w:val="000000"/>
                <w:sz w:val="20"/>
                <w:szCs w:val="20"/>
                <w:lang w:val="en-GB" w:eastAsia="de-DE"/>
              </w:rPr>
              <w:t>Project start: Zero point</w:t>
            </w:r>
          </w:p>
        </w:tc>
        <w:tc>
          <w:tcPr>
            <w:tcW w:w="3260" w:type="dxa"/>
            <w:shd w:val="clear" w:color="auto" w:fill="auto"/>
            <w:vAlign w:val="center"/>
          </w:tcPr>
          <w:p w:rsidR="002960F6" w:rsidRPr="002960F6" w:rsidRDefault="002960F6" w:rsidP="002960F6">
            <w:pPr>
              <w:spacing w:before="40" w:after="40" w:line="200" w:lineRule="atLeast"/>
              <w:rPr>
                <w:rFonts w:ascii="Arial" w:eastAsia="Times New Roman" w:hAnsi="Arial" w:cs="Arial"/>
                <w:color w:val="000000"/>
                <w:sz w:val="20"/>
                <w:szCs w:val="20"/>
                <w:lang w:eastAsia="ru-RU"/>
              </w:rPr>
            </w:pPr>
            <w:r w:rsidRPr="002960F6">
              <w:rPr>
                <w:rFonts w:ascii="Arial" w:eastAsia="Times New Roman" w:hAnsi="Arial" w:cs="Arial"/>
                <w:color w:val="000000"/>
                <w:sz w:val="20"/>
                <w:szCs w:val="20"/>
                <w:lang w:eastAsia="de-DE"/>
              </w:rPr>
              <w:t xml:space="preserve">100% of the Project municipalities (30) approved SIAP </w:t>
            </w:r>
          </w:p>
        </w:tc>
        <w:tc>
          <w:tcPr>
            <w:tcW w:w="1710" w:type="dxa"/>
            <w:vMerge w:val="restart"/>
            <w:shd w:val="clear" w:color="auto" w:fill="auto"/>
            <w:vAlign w:val="center"/>
          </w:tcPr>
          <w:p w:rsidR="002960F6" w:rsidRPr="002960F6" w:rsidRDefault="002960F6" w:rsidP="002960F6">
            <w:pPr>
              <w:tabs>
                <w:tab w:val="left" w:pos="567"/>
              </w:tabs>
              <w:spacing w:before="40" w:after="40"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Municipal SIAPs</w:t>
            </w:r>
          </w:p>
          <w:p w:rsidR="002960F6" w:rsidRPr="002960F6" w:rsidRDefault="002960F6" w:rsidP="002960F6">
            <w:pPr>
              <w:tabs>
                <w:tab w:val="left" w:pos="567"/>
              </w:tabs>
              <w:spacing w:before="40" w:after="40" w:line="200" w:lineRule="atLeast"/>
              <w:rPr>
                <w:rFonts w:ascii="Arial" w:eastAsia="Times New Roman" w:hAnsi="Arial" w:cs="Arial"/>
                <w:sz w:val="20"/>
                <w:szCs w:val="20"/>
                <w:lang w:eastAsia="de-DE"/>
              </w:rPr>
            </w:pPr>
          </w:p>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Inter-municipal SIAPs</w:t>
            </w:r>
          </w:p>
        </w:tc>
        <w:tc>
          <w:tcPr>
            <w:tcW w:w="1798" w:type="dxa"/>
            <w:vMerge w:val="restart"/>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State regulations allow the creation of inter-municipal service delivery models</w:t>
            </w:r>
          </w:p>
        </w:tc>
      </w:tr>
      <w:tr w:rsidR="002960F6" w:rsidRPr="002960F6" w:rsidTr="009427A4">
        <w:tc>
          <w:tcPr>
            <w:tcW w:w="741" w:type="dxa"/>
            <w:vMerge/>
            <w:tcBorders>
              <w:right w:val="single" w:sz="6" w:space="0" w:color="000000"/>
            </w:tcBorders>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2089"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567"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16.</w:t>
            </w:r>
          </w:p>
        </w:tc>
        <w:tc>
          <w:tcPr>
            <w:tcW w:w="3544"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 of inter-municipal service delivery model established</w:t>
            </w:r>
          </w:p>
        </w:tc>
        <w:tc>
          <w:tcPr>
            <w:tcW w:w="1985"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color w:val="000000"/>
                <w:sz w:val="20"/>
                <w:szCs w:val="20"/>
                <w:lang w:val="en-GB" w:eastAsia="de-DE"/>
              </w:rPr>
              <w:t>Project start: Zero point</w:t>
            </w:r>
          </w:p>
        </w:tc>
        <w:tc>
          <w:tcPr>
            <w:tcW w:w="3260" w:type="dxa"/>
            <w:shd w:val="clear" w:color="auto" w:fill="auto"/>
            <w:vAlign w:val="center"/>
          </w:tcPr>
          <w:p w:rsidR="002960F6" w:rsidRPr="002960F6" w:rsidRDefault="002960F6" w:rsidP="002960F6">
            <w:pPr>
              <w:spacing w:before="40" w:after="40" w:line="200" w:lineRule="atLeast"/>
              <w:rPr>
                <w:rFonts w:ascii="Arial" w:eastAsia="Times New Roman" w:hAnsi="Arial" w:cs="Arial"/>
                <w:color w:val="000000"/>
                <w:sz w:val="20"/>
                <w:szCs w:val="20"/>
                <w:lang w:eastAsia="ru-RU"/>
              </w:rPr>
            </w:pPr>
            <w:r w:rsidRPr="002960F6">
              <w:rPr>
                <w:rFonts w:ascii="Arial" w:eastAsia="Times New Roman" w:hAnsi="Arial" w:cs="Arial"/>
                <w:color w:val="000000"/>
                <w:sz w:val="20"/>
                <w:szCs w:val="20"/>
                <w:lang w:eastAsia="de-DE"/>
              </w:rPr>
              <w:t>At least one inter-municipal model for service provision established in each oblast (Issyk-Kul and Jalal-Abad)</w:t>
            </w:r>
          </w:p>
        </w:tc>
        <w:tc>
          <w:tcPr>
            <w:tcW w:w="1710"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1798"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r>
      <w:tr w:rsidR="002960F6" w:rsidRPr="002960F6" w:rsidTr="009427A4">
        <w:tc>
          <w:tcPr>
            <w:tcW w:w="15694" w:type="dxa"/>
            <w:gridSpan w:val="8"/>
            <w:tcBorders>
              <w:right w:val="single" w:sz="6" w:space="0" w:color="000000"/>
            </w:tcBorders>
            <w:shd w:val="clear" w:color="auto" w:fill="C5E0B3"/>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b/>
                <w:sz w:val="20"/>
                <w:szCs w:val="20"/>
                <w:lang w:eastAsia="de-DE"/>
              </w:rPr>
              <w:t xml:space="preserve">Activities per output 1.2. </w:t>
            </w:r>
            <w:r w:rsidRPr="002960F6">
              <w:rPr>
                <w:rFonts w:ascii="Arial" w:eastAsia="Times New Roman" w:hAnsi="Arial" w:cs="Arial"/>
                <w:b/>
                <w:i/>
                <w:sz w:val="20"/>
                <w:szCs w:val="20"/>
                <w:lang w:eastAsia="de-DE"/>
              </w:rPr>
              <w:t>Municipalities adopt public service improvement mechanisms</w:t>
            </w:r>
          </w:p>
        </w:tc>
      </w:tr>
      <w:tr w:rsidR="002960F6" w:rsidRPr="002960F6" w:rsidTr="009427A4">
        <w:trPr>
          <w:cantSplit/>
          <w:trHeight w:val="1134"/>
        </w:trPr>
        <w:tc>
          <w:tcPr>
            <w:tcW w:w="15694" w:type="dxa"/>
            <w:gridSpan w:val="8"/>
            <w:tcBorders>
              <w:right w:val="single" w:sz="6" w:space="0" w:color="000000"/>
            </w:tcBorders>
            <w:shd w:val="clear" w:color="auto" w:fill="auto"/>
            <w:vAlign w:val="center"/>
          </w:tcPr>
          <w:p w:rsidR="002960F6" w:rsidRPr="002960F6" w:rsidRDefault="002960F6" w:rsidP="002960F6">
            <w:pPr>
              <w:spacing w:beforeLines="40" w:before="96" w:afterLines="40" w:after="96" w:line="200" w:lineRule="atLeast"/>
              <w:ind w:left="360"/>
              <w:rPr>
                <w:rFonts w:ascii="Arial" w:eastAsia="Calibri" w:hAnsi="Arial" w:cs="Arial"/>
                <w:sz w:val="20"/>
                <w:szCs w:val="20"/>
                <w:lang w:eastAsia="de-DE"/>
              </w:rPr>
            </w:pPr>
            <w:r w:rsidRPr="002960F6">
              <w:rPr>
                <w:rFonts w:ascii="Arial" w:eastAsia="Times New Roman" w:hAnsi="Arial" w:cs="Arial"/>
                <w:b/>
                <w:sz w:val="20"/>
                <w:szCs w:val="20"/>
                <w:lang w:eastAsia="de-DE"/>
              </w:rPr>
              <w:t>List of activities for output 1.2</w:t>
            </w:r>
          </w:p>
          <w:p w:rsidR="002960F6" w:rsidRPr="002960F6" w:rsidRDefault="002960F6" w:rsidP="002960F6">
            <w:pPr>
              <w:numPr>
                <w:ilvl w:val="0"/>
                <w:numId w:val="2"/>
              </w:numPr>
              <w:spacing w:beforeLines="40" w:before="96" w:afterLines="40" w:after="96" w:line="240" w:lineRule="auto"/>
              <w:rPr>
                <w:rFonts w:ascii="Arial" w:eastAsia="Calibri" w:hAnsi="Arial" w:cs="Arial"/>
                <w:sz w:val="20"/>
                <w:szCs w:val="20"/>
                <w:lang w:eastAsia="de-DE"/>
              </w:rPr>
            </w:pPr>
            <w:r w:rsidRPr="002960F6">
              <w:rPr>
                <w:rFonts w:ascii="Arial" w:eastAsia="Calibri" w:hAnsi="Arial" w:cs="Arial"/>
                <w:sz w:val="20"/>
                <w:szCs w:val="20"/>
                <w:lang w:eastAsia="de-DE"/>
              </w:rPr>
              <w:t>Elaborating training modules for service provision delivery models</w:t>
            </w:r>
          </w:p>
          <w:p w:rsidR="002960F6" w:rsidRPr="002960F6" w:rsidRDefault="002960F6" w:rsidP="002960F6">
            <w:pPr>
              <w:numPr>
                <w:ilvl w:val="0"/>
                <w:numId w:val="2"/>
              </w:numPr>
              <w:spacing w:beforeLines="40" w:before="96" w:afterLines="40" w:after="96" w:line="240" w:lineRule="auto"/>
              <w:rPr>
                <w:rFonts w:ascii="Arial" w:eastAsia="Calibri" w:hAnsi="Arial" w:cs="Arial"/>
                <w:sz w:val="20"/>
                <w:szCs w:val="20"/>
                <w:lang w:eastAsia="de-DE"/>
              </w:rPr>
            </w:pPr>
            <w:r w:rsidRPr="002960F6">
              <w:rPr>
                <w:rFonts w:ascii="Arial" w:eastAsia="Calibri" w:hAnsi="Arial" w:cs="Arial"/>
                <w:sz w:val="20"/>
                <w:szCs w:val="20"/>
                <w:lang w:eastAsia="de-DE"/>
              </w:rPr>
              <w:t>Facilitation of establishing municipal SIAP working groups process</w:t>
            </w:r>
          </w:p>
          <w:p w:rsidR="002960F6" w:rsidRPr="002960F6" w:rsidRDefault="002960F6" w:rsidP="002960F6">
            <w:pPr>
              <w:numPr>
                <w:ilvl w:val="0"/>
                <w:numId w:val="2"/>
              </w:numPr>
              <w:spacing w:beforeLines="40" w:before="96" w:afterLines="40" w:after="96" w:line="240" w:lineRule="auto"/>
              <w:rPr>
                <w:rFonts w:ascii="Arial" w:eastAsia="Calibri" w:hAnsi="Arial" w:cs="Arial"/>
                <w:sz w:val="20"/>
                <w:szCs w:val="20"/>
                <w:lang w:eastAsia="de-DE"/>
              </w:rPr>
            </w:pPr>
            <w:r w:rsidRPr="002960F6">
              <w:rPr>
                <w:rFonts w:ascii="Arial" w:eastAsia="Calibri" w:hAnsi="Arial" w:cs="Arial"/>
                <w:sz w:val="20"/>
                <w:szCs w:val="20"/>
                <w:lang w:eastAsia="de-DE"/>
              </w:rPr>
              <w:t>Providing trainings to LSGs working groups on suitable model of service provision</w:t>
            </w:r>
          </w:p>
          <w:p w:rsidR="002960F6" w:rsidRPr="002960F6" w:rsidRDefault="002960F6" w:rsidP="002960F6">
            <w:pPr>
              <w:numPr>
                <w:ilvl w:val="0"/>
                <w:numId w:val="2"/>
              </w:numPr>
              <w:spacing w:beforeLines="40" w:before="96" w:afterLines="40" w:after="96" w:line="240" w:lineRule="auto"/>
              <w:rPr>
                <w:rFonts w:ascii="Arial" w:eastAsia="Calibri" w:hAnsi="Arial" w:cs="Arial"/>
                <w:sz w:val="20"/>
                <w:szCs w:val="20"/>
                <w:lang w:eastAsia="de-DE"/>
              </w:rPr>
            </w:pPr>
            <w:r w:rsidRPr="002960F6">
              <w:rPr>
                <w:rFonts w:ascii="Arial" w:eastAsia="Calibri" w:hAnsi="Arial" w:cs="Arial"/>
                <w:sz w:val="20"/>
                <w:szCs w:val="20"/>
                <w:lang w:eastAsia="de-DE"/>
              </w:rPr>
              <w:t>Verifying the requests for financial support to SIAP elaboration (1st level of grant)</w:t>
            </w:r>
          </w:p>
          <w:p w:rsidR="002960F6" w:rsidRPr="002960F6" w:rsidRDefault="002960F6" w:rsidP="002960F6">
            <w:pPr>
              <w:numPr>
                <w:ilvl w:val="0"/>
                <w:numId w:val="2"/>
              </w:numPr>
              <w:spacing w:beforeLines="40" w:before="96" w:afterLines="40" w:after="96" w:line="240" w:lineRule="auto"/>
              <w:rPr>
                <w:rFonts w:ascii="Arial" w:eastAsia="Calibri" w:hAnsi="Arial" w:cs="Arial"/>
                <w:sz w:val="20"/>
                <w:szCs w:val="20"/>
                <w:lang w:eastAsia="de-DE"/>
              </w:rPr>
            </w:pPr>
            <w:r w:rsidRPr="002960F6">
              <w:rPr>
                <w:rFonts w:ascii="Arial" w:eastAsia="Calibri" w:hAnsi="Arial" w:cs="Arial"/>
                <w:sz w:val="20"/>
                <w:szCs w:val="20"/>
                <w:lang w:eastAsia="de-DE"/>
              </w:rPr>
              <w:t>Providing grant support to SIAPs (2nd level)</w:t>
            </w:r>
          </w:p>
          <w:p w:rsidR="002960F6" w:rsidRPr="002960F6" w:rsidRDefault="002960F6" w:rsidP="002960F6">
            <w:pPr>
              <w:numPr>
                <w:ilvl w:val="0"/>
                <w:numId w:val="2"/>
              </w:numPr>
              <w:spacing w:beforeLines="40" w:before="96" w:afterLines="40" w:after="96" w:line="240" w:lineRule="auto"/>
              <w:rPr>
                <w:rFonts w:ascii="Arial" w:eastAsia="Calibri" w:hAnsi="Arial" w:cs="Arial"/>
                <w:sz w:val="20"/>
                <w:szCs w:val="20"/>
                <w:lang w:eastAsia="de-DE"/>
              </w:rPr>
            </w:pPr>
            <w:r w:rsidRPr="002960F6">
              <w:rPr>
                <w:rFonts w:ascii="Arial" w:eastAsia="Calibri" w:hAnsi="Arial" w:cs="Arial"/>
                <w:sz w:val="20"/>
                <w:szCs w:val="20"/>
                <w:lang w:eastAsia="de-DE"/>
              </w:rPr>
              <w:t xml:space="preserve">Facilitating SIAP realization supervision – financial management of grants, contracting external experts, facilitation of public tender process </w:t>
            </w:r>
          </w:p>
          <w:p w:rsidR="002960F6" w:rsidRPr="002960F6" w:rsidRDefault="002960F6" w:rsidP="002960F6">
            <w:pPr>
              <w:numPr>
                <w:ilvl w:val="0"/>
                <w:numId w:val="2"/>
              </w:numPr>
              <w:spacing w:beforeLines="40" w:before="96" w:afterLines="40" w:after="96" w:line="240" w:lineRule="auto"/>
              <w:rPr>
                <w:rFonts w:ascii="Arial" w:eastAsia="Times New Roman" w:hAnsi="Arial" w:cs="Arial"/>
                <w:sz w:val="20"/>
                <w:szCs w:val="20"/>
                <w:lang w:eastAsia="de-DE"/>
              </w:rPr>
            </w:pPr>
            <w:r w:rsidRPr="002960F6">
              <w:rPr>
                <w:rFonts w:ascii="Arial" w:eastAsia="Calibri" w:hAnsi="Arial" w:cs="Arial"/>
                <w:sz w:val="20"/>
                <w:szCs w:val="20"/>
                <w:lang w:eastAsia="de-DE"/>
              </w:rPr>
              <w:t>Organization of round tables, workshops on inter-municipal cooperation and exchange</w:t>
            </w:r>
          </w:p>
          <w:p w:rsidR="002960F6" w:rsidRPr="002960F6" w:rsidRDefault="002960F6" w:rsidP="002960F6">
            <w:pPr>
              <w:numPr>
                <w:ilvl w:val="0"/>
                <w:numId w:val="2"/>
              </w:numPr>
              <w:spacing w:beforeLines="40" w:before="96" w:afterLines="40" w:after="96" w:line="240" w:lineRule="auto"/>
              <w:rPr>
                <w:rFonts w:ascii="Arial" w:eastAsia="Times New Roman" w:hAnsi="Arial" w:cs="Arial"/>
                <w:sz w:val="20"/>
                <w:szCs w:val="20"/>
                <w:lang w:eastAsia="de-DE"/>
              </w:rPr>
            </w:pPr>
            <w:r w:rsidRPr="002960F6">
              <w:rPr>
                <w:rFonts w:ascii="Arial" w:eastAsia="Times New Roman" w:hAnsi="Arial" w:cs="Arial"/>
                <w:sz w:val="20"/>
                <w:szCs w:val="20"/>
                <w:lang w:eastAsia="de-DE"/>
              </w:rPr>
              <w:t>Study tour for LSGs members</w:t>
            </w:r>
          </w:p>
        </w:tc>
      </w:tr>
      <w:tr w:rsidR="002960F6" w:rsidRPr="002960F6" w:rsidTr="009427A4">
        <w:tc>
          <w:tcPr>
            <w:tcW w:w="15694" w:type="dxa"/>
            <w:gridSpan w:val="8"/>
            <w:tcBorders>
              <w:right w:val="single" w:sz="6" w:space="0" w:color="000000"/>
            </w:tcBorders>
            <w:shd w:val="clear" w:color="auto" w:fill="BDD6EE"/>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b/>
                <w:sz w:val="20"/>
                <w:szCs w:val="20"/>
                <w:lang w:eastAsia="de-DE"/>
              </w:rPr>
              <w:t>For outcome 2:  Effective stakeholder interaction system for public service improvements is in place</w:t>
            </w:r>
          </w:p>
        </w:tc>
      </w:tr>
      <w:tr w:rsidR="002960F6" w:rsidRPr="002960F6" w:rsidTr="009427A4">
        <w:tc>
          <w:tcPr>
            <w:tcW w:w="741" w:type="dxa"/>
            <w:vMerge w:val="restart"/>
            <w:tcBorders>
              <w:right w:val="single" w:sz="6" w:space="0" w:color="000000"/>
            </w:tcBorders>
            <w:shd w:val="clear" w:color="auto" w:fill="auto"/>
            <w:textDirection w:val="btLr"/>
            <w:vAlign w:val="center"/>
          </w:tcPr>
          <w:p w:rsidR="002960F6" w:rsidRPr="002960F6" w:rsidRDefault="002960F6" w:rsidP="002960F6">
            <w:pPr>
              <w:spacing w:beforeLines="40" w:before="96" w:afterLines="40" w:after="96" w:line="200" w:lineRule="atLeast"/>
              <w:ind w:left="113" w:right="113"/>
              <w:jc w:val="center"/>
              <w:rPr>
                <w:rFonts w:ascii="Arial" w:eastAsia="Times New Roman" w:hAnsi="Arial" w:cs="Arial"/>
                <w:b/>
                <w:sz w:val="20"/>
                <w:szCs w:val="20"/>
                <w:lang w:eastAsia="de-DE"/>
              </w:rPr>
            </w:pPr>
            <w:r w:rsidRPr="002960F6">
              <w:rPr>
                <w:rFonts w:ascii="Arial" w:eastAsia="Times New Roman" w:hAnsi="Arial" w:cs="Arial"/>
                <w:b/>
                <w:sz w:val="20"/>
                <w:szCs w:val="20"/>
                <w:lang w:eastAsia="de-DE"/>
              </w:rPr>
              <w:lastRenderedPageBreak/>
              <w:t>Output 2.1</w:t>
            </w:r>
          </w:p>
        </w:tc>
        <w:tc>
          <w:tcPr>
            <w:tcW w:w="2089" w:type="dxa"/>
            <w:vMerge w:val="restart"/>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b/>
                <w:sz w:val="20"/>
                <w:szCs w:val="20"/>
                <w:lang w:eastAsia="de-DE"/>
              </w:rPr>
            </w:pPr>
            <w:r w:rsidRPr="002960F6">
              <w:rPr>
                <w:rFonts w:ascii="Arial" w:eastAsia="Times New Roman" w:hAnsi="Arial" w:cs="Arial"/>
                <w:b/>
                <w:sz w:val="20"/>
                <w:szCs w:val="20"/>
                <w:lang w:eastAsia="de-DE"/>
              </w:rPr>
              <w:t>Citizen participation mechanisms in public service definition, execution, and monitoring are established in municipalities</w:t>
            </w:r>
          </w:p>
        </w:tc>
        <w:tc>
          <w:tcPr>
            <w:tcW w:w="567"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17.</w:t>
            </w:r>
          </w:p>
        </w:tc>
        <w:tc>
          <w:tcPr>
            <w:tcW w:w="3544" w:type="dxa"/>
            <w:shd w:val="clear" w:color="auto" w:fill="auto"/>
            <w:vAlign w:val="center"/>
          </w:tcPr>
          <w:p w:rsidR="002960F6" w:rsidRPr="002960F6" w:rsidRDefault="002960F6" w:rsidP="002960F6">
            <w:pPr>
              <w:tabs>
                <w:tab w:val="left" w:pos="567"/>
              </w:tabs>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 of project municipalities have joint SIAP planning groups established</w:t>
            </w:r>
          </w:p>
        </w:tc>
        <w:tc>
          <w:tcPr>
            <w:tcW w:w="1985"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color w:val="000000"/>
                <w:sz w:val="20"/>
                <w:szCs w:val="20"/>
                <w:lang w:val="en-GB" w:eastAsia="de-DE"/>
              </w:rPr>
              <w:t>Project start: Zero point</w:t>
            </w:r>
          </w:p>
        </w:tc>
        <w:tc>
          <w:tcPr>
            <w:tcW w:w="3260" w:type="dxa"/>
            <w:shd w:val="clear" w:color="auto" w:fill="auto"/>
            <w:vAlign w:val="center"/>
          </w:tcPr>
          <w:p w:rsidR="002960F6" w:rsidRPr="002960F6" w:rsidRDefault="002960F6" w:rsidP="002960F6">
            <w:pPr>
              <w:spacing w:before="40" w:after="40" w:line="200" w:lineRule="atLeast"/>
              <w:rPr>
                <w:rFonts w:ascii="Arial" w:eastAsia="Times New Roman" w:hAnsi="Arial" w:cs="Arial"/>
                <w:color w:val="000000"/>
                <w:sz w:val="20"/>
                <w:szCs w:val="20"/>
                <w:lang w:eastAsia="ru-RU"/>
              </w:rPr>
            </w:pPr>
            <w:r w:rsidRPr="002960F6">
              <w:rPr>
                <w:rFonts w:ascii="Arial" w:eastAsia="Times New Roman" w:hAnsi="Arial" w:cs="Arial"/>
                <w:color w:val="000000"/>
                <w:sz w:val="20"/>
                <w:szCs w:val="20"/>
                <w:lang w:eastAsia="de-DE"/>
              </w:rPr>
              <w:t xml:space="preserve">100% of the Project municipalities (30) have created SIAP planning groups </w:t>
            </w:r>
          </w:p>
        </w:tc>
        <w:tc>
          <w:tcPr>
            <w:tcW w:w="1710" w:type="dxa"/>
            <w:vMerge w:val="restart"/>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Protocols of joint SIAP planning groups</w:t>
            </w:r>
          </w:p>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Local council resolutions, citizen survey, announcements on public display boards, papers etc.</w:t>
            </w:r>
          </w:p>
        </w:tc>
        <w:tc>
          <w:tcPr>
            <w:tcW w:w="1798" w:type="dxa"/>
            <w:vMerge w:val="restart"/>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Legal framework allowing the practice of citizens’ participation in decision making process in local self-governments exists</w:t>
            </w:r>
          </w:p>
        </w:tc>
      </w:tr>
      <w:tr w:rsidR="002960F6" w:rsidRPr="002960F6" w:rsidTr="009427A4">
        <w:tc>
          <w:tcPr>
            <w:tcW w:w="741" w:type="dxa"/>
            <w:vMerge/>
            <w:tcBorders>
              <w:right w:val="single" w:sz="6" w:space="0" w:color="000000"/>
            </w:tcBorders>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2089"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567"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18.</w:t>
            </w:r>
          </w:p>
        </w:tc>
        <w:tc>
          <w:tcPr>
            <w:tcW w:w="3544" w:type="dxa"/>
            <w:shd w:val="clear" w:color="auto" w:fill="auto"/>
            <w:vAlign w:val="center"/>
          </w:tcPr>
          <w:p w:rsidR="002960F6" w:rsidRPr="002960F6" w:rsidRDefault="002960F6" w:rsidP="002960F6">
            <w:pPr>
              <w:tabs>
                <w:tab w:val="left" w:pos="567"/>
              </w:tabs>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 xml:space="preserve">% of project municipalities have established a citizens’ request/complaint mechanism </w:t>
            </w:r>
          </w:p>
        </w:tc>
        <w:tc>
          <w:tcPr>
            <w:tcW w:w="1985"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color w:val="000000"/>
                <w:sz w:val="20"/>
                <w:szCs w:val="20"/>
                <w:lang w:val="en-GB" w:eastAsia="de-DE"/>
              </w:rPr>
              <w:t>Project start: Zero point</w:t>
            </w:r>
          </w:p>
        </w:tc>
        <w:tc>
          <w:tcPr>
            <w:tcW w:w="3260" w:type="dxa"/>
            <w:shd w:val="clear" w:color="auto" w:fill="auto"/>
            <w:vAlign w:val="center"/>
          </w:tcPr>
          <w:p w:rsidR="002960F6" w:rsidRPr="002960F6" w:rsidRDefault="002960F6" w:rsidP="002960F6">
            <w:pPr>
              <w:spacing w:before="40" w:after="40" w:line="200" w:lineRule="atLeast"/>
              <w:rPr>
                <w:rFonts w:ascii="Arial" w:eastAsia="Times New Roman" w:hAnsi="Arial" w:cs="Arial"/>
                <w:color w:val="000000"/>
                <w:sz w:val="20"/>
                <w:szCs w:val="20"/>
                <w:lang w:eastAsia="ru-RU"/>
              </w:rPr>
            </w:pPr>
            <w:r w:rsidRPr="002960F6">
              <w:rPr>
                <w:rFonts w:ascii="Arial" w:eastAsia="Times New Roman" w:hAnsi="Arial" w:cs="Arial"/>
                <w:color w:val="000000"/>
                <w:sz w:val="20"/>
                <w:szCs w:val="20"/>
                <w:lang w:eastAsia="de-DE"/>
              </w:rPr>
              <w:t>100% of Project municipalities (30) institutionalized various request/complaint mechanisms</w:t>
            </w:r>
          </w:p>
        </w:tc>
        <w:tc>
          <w:tcPr>
            <w:tcW w:w="1710"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1798"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r>
      <w:tr w:rsidR="002960F6" w:rsidRPr="002960F6" w:rsidTr="009427A4">
        <w:tc>
          <w:tcPr>
            <w:tcW w:w="741" w:type="dxa"/>
            <w:vMerge/>
            <w:tcBorders>
              <w:right w:val="single" w:sz="6" w:space="0" w:color="000000"/>
            </w:tcBorders>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2089"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567"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19.</w:t>
            </w:r>
          </w:p>
        </w:tc>
        <w:tc>
          <w:tcPr>
            <w:tcW w:w="3544"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 of services initiated by vulnerable groups (women, marginalized groups and ethnic minorities) and adopted by municipalities</w:t>
            </w:r>
          </w:p>
        </w:tc>
        <w:tc>
          <w:tcPr>
            <w:tcW w:w="1985"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color w:val="000000"/>
                <w:sz w:val="20"/>
                <w:szCs w:val="20"/>
                <w:lang w:val="en-GB" w:eastAsia="de-DE"/>
              </w:rPr>
              <w:t>Project start: Zero point</w:t>
            </w:r>
          </w:p>
        </w:tc>
        <w:tc>
          <w:tcPr>
            <w:tcW w:w="3260"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color w:val="000000"/>
                <w:sz w:val="20"/>
                <w:szCs w:val="20"/>
                <w:lang w:eastAsia="de-DE"/>
              </w:rPr>
              <w:t>At least one service in 50% of municipalities (15) initiated by vulnerable groups: 1 –Women; 2 – Disabled people; 3 – Poor families; 4 – Ethnic minorities; and adopted by municipalities</w:t>
            </w:r>
          </w:p>
        </w:tc>
        <w:tc>
          <w:tcPr>
            <w:tcW w:w="1710"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1798"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r>
      <w:tr w:rsidR="002960F6" w:rsidRPr="002960F6" w:rsidTr="009427A4">
        <w:tc>
          <w:tcPr>
            <w:tcW w:w="15694" w:type="dxa"/>
            <w:gridSpan w:val="8"/>
            <w:tcBorders>
              <w:right w:val="single" w:sz="6" w:space="0" w:color="000000"/>
            </w:tcBorders>
            <w:shd w:val="clear" w:color="auto" w:fill="C5E0B3"/>
            <w:vAlign w:val="center"/>
          </w:tcPr>
          <w:p w:rsidR="002960F6" w:rsidRPr="002960F6" w:rsidRDefault="002960F6" w:rsidP="002960F6">
            <w:pPr>
              <w:spacing w:beforeLines="40" w:before="96" w:afterLines="40" w:after="96" w:line="200" w:lineRule="atLeast"/>
              <w:rPr>
                <w:rFonts w:ascii="Arial" w:eastAsia="Times New Roman" w:hAnsi="Arial" w:cs="Arial"/>
                <w:b/>
                <w:i/>
                <w:sz w:val="20"/>
                <w:szCs w:val="20"/>
                <w:lang w:eastAsia="de-DE"/>
              </w:rPr>
            </w:pPr>
            <w:r w:rsidRPr="002960F6">
              <w:rPr>
                <w:rFonts w:ascii="Arial" w:eastAsia="Times New Roman" w:hAnsi="Arial" w:cs="Arial"/>
                <w:b/>
                <w:sz w:val="20"/>
                <w:szCs w:val="20"/>
                <w:lang w:eastAsia="de-DE"/>
              </w:rPr>
              <w:t xml:space="preserve">Activities per output 2.1. </w:t>
            </w:r>
            <w:r w:rsidRPr="002960F6">
              <w:rPr>
                <w:rFonts w:ascii="Arial" w:eastAsia="Times New Roman" w:hAnsi="Arial" w:cs="Arial"/>
                <w:b/>
                <w:i/>
                <w:sz w:val="20"/>
                <w:szCs w:val="20"/>
                <w:lang w:eastAsia="de-DE"/>
              </w:rPr>
              <w:t>Citizen participation mechanisms in public service definition, execution, and monitoring are established in municipalities</w:t>
            </w:r>
          </w:p>
        </w:tc>
      </w:tr>
      <w:tr w:rsidR="002960F6" w:rsidRPr="002960F6" w:rsidTr="009427A4">
        <w:trPr>
          <w:cantSplit/>
          <w:trHeight w:val="1134"/>
        </w:trPr>
        <w:tc>
          <w:tcPr>
            <w:tcW w:w="15694" w:type="dxa"/>
            <w:gridSpan w:val="8"/>
            <w:tcBorders>
              <w:right w:val="single" w:sz="6" w:space="0" w:color="000000"/>
            </w:tcBorders>
            <w:shd w:val="clear" w:color="auto" w:fill="auto"/>
            <w:vAlign w:val="center"/>
          </w:tcPr>
          <w:p w:rsidR="002960F6" w:rsidRPr="002960F6" w:rsidRDefault="002960F6" w:rsidP="002960F6">
            <w:pPr>
              <w:spacing w:beforeLines="40" w:before="96" w:afterLines="40" w:after="96" w:line="200" w:lineRule="atLeast"/>
              <w:ind w:left="360"/>
              <w:rPr>
                <w:rFonts w:ascii="Arial" w:eastAsia="Calibri" w:hAnsi="Arial" w:cs="Arial"/>
                <w:sz w:val="20"/>
                <w:szCs w:val="20"/>
                <w:lang w:eastAsia="de-DE"/>
              </w:rPr>
            </w:pPr>
            <w:r w:rsidRPr="002960F6">
              <w:rPr>
                <w:rFonts w:ascii="Arial" w:eastAsia="Times New Roman" w:hAnsi="Arial" w:cs="Arial"/>
                <w:b/>
                <w:sz w:val="20"/>
                <w:szCs w:val="20"/>
                <w:lang w:eastAsia="de-DE"/>
              </w:rPr>
              <w:t>List of activities for output 2.1</w:t>
            </w:r>
          </w:p>
          <w:p w:rsidR="002960F6" w:rsidRPr="002960F6" w:rsidRDefault="002960F6" w:rsidP="002960F6">
            <w:pPr>
              <w:numPr>
                <w:ilvl w:val="0"/>
                <w:numId w:val="2"/>
              </w:numPr>
              <w:spacing w:beforeLines="40" w:before="96" w:afterLines="40" w:after="96" w:line="240" w:lineRule="auto"/>
              <w:rPr>
                <w:rFonts w:ascii="Arial" w:eastAsia="Calibri" w:hAnsi="Arial" w:cs="Arial"/>
                <w:sz w:val="20"/>
                <w:szCs w:val="20"/>
                <w:lang w:eastAsia="de-DE"/>
              </w:rPr>
            </w:pPr>
            <w:r w:rsidRPr="002960F6">
              <w:rPr>
                <w:rFonts w:ascii="Arial" w:eastAsia="Calibri" w:hAnsi="Arial" w:cs="Arial"/>
                <w:sz w:val="20"/>
                <w:szCs w:val="20"/>
                <w:lang w:eastAsia="de-DE"/>
              </w:rPr>
              <w:t>Capacity building of local council members on their role and competences in service provision (including legal framework)</w:t>
            </w:r>
          </w:p>
          <w:p w:rsidR="002960F6" w:rsidRPr="002960F6" w:rsidRDefault="002960F6" w:rsidP="002960F6">
            <w:pPr>
              <w:numPr>
                <w:ilvl w:val="0"/>
                <w:numId w:val="2"/>
              </w:numPr>
              <w:spacing w:beforeLines="40" w:before="96" w:afterLines="40" w:after="96" w:line="240" w:lineRule="auto"/>
              <w:rPr>
                <w:rFonts w:ascii="Arial" w:eastAsia="Calibri" w:hAnsi="Arial" w:cs="Arial"/>
                <w:sz w:val="20"/>
                <w:szCs w:val="20"/>
                <w:lang w:eastAsia="de-DE"/>
              </w:rPr>
            </w:pPr>
            <w:r w:rsidRPr="002960F6">
              <w:rPr>
                <w:rFonts w:ascii="Arial" w:eastAsia="Calibri" w:hAnsi="Arial" w:cs="Arial"/>
                <w:sz w:val="20"/>
                <w:szCs w:val="20"/>
                <w:lang w:eastAsia="de-DE"/>
              </w:rPr>
              <w:t>Technical assistance to LSGs on municipal mechanisms of citizens’ request/complaints registration and response (citizens score cards, complaint box, info bulletin, info boards)</w:t>
            </w:r>
          </w:p>
          <w:p w:rsidR="002960F6" w:rsidRPr="002960F6" w:rsidRDefault="002960F6" w:rsidP="002960F6">
            <w:pPr>
              <w:numPr>
                <w:ilvl w:val="0"/>
                <w:numId w:val="2"/>
              </w:numPr>
              <w:spacing w:beforeLines="40" w:before="96" w:afterLines="40" w:after="96" w:line="240" w:lineRule="auto"/>
              <w:rPr>
                <w:rFonts w:ascii="Arial" w:eastAsia="Calibri" w:hAnsi="Arial" w:cs="Arial"/>
                <w:sz w:val="20"/>
                <w:szCs w:val="20"/>
                <w:lang w:eastAsia="de-DE"/>
              </w:rPr>
            </w:pPr>
            <w:r w:rsidRPr="002960F6">
              <w:rPr>
                <w:rFonts w:ascii="Arial" w:eastAsia="Calibri" w:hAnsi="Arial" w:cs="Arial"/>
                <w:sz w:val="20"/>
                <w:szCs w:val="20"/>
                <w:lang w:eastAsia="de-DE"/>
              </w:rPr>
              <w:t xml:space="preserve">Support to service priority revision process through focus groups </w:t>
            </w:r>
          </w:p>
          <w:p w:rsidR="002960F6" w:rsidRPr="002960F6" w:rsidRDefault="002960F6" w:rsidP="002960F6">
            <w:pPr>
              <w:numPr>
                <w:ilvl w:val="0"/>
                <w:numId w:val="2"/>
              </w:numPr>
              <w:spacing w:beforeLines="40" w:before="96" w:afterLines="40" w:after="96" w:line="240" w:lineRule="auto"/>
              <w:rPr>
                <w:rFonts w:ascii="Arial" w:eastAsia="Calibri" w:hAnsi="Arial" w:cs="Arial"/>
                <w:sz w:val="20"/>
                <w:szCs w:val="20"/>
                <w:lang w:eastAsia="de-DE"/>
              </w:rPr>
            </w:pPr>
            <w:r w:rsidRPr="002960F6">
              <w:rPr>
                <w:rFonts w:ascii="Arial" w:eastAsia="Calibri" w:hAnsi="Arial" w:cs="Arial"/>
                <w:sz w:val="20"/>
                <w:szCs w:val="20"/>
                <w:lang w:eastAsia="de-DE"/>
              </w:rPr>
              <w:t>Technical assistance for LSG to raise their awareness on citizens right and duties (emphasis on gender and social inclusion, pro poor policies and conflict prevention)</w:t>
            </w:r>
          </w:p>
          <w:p w:rsidR="002960F6" w:rsidRPr="002960F6" w:rsidRDefault="002960F6" w:rsidP="002960F6">
            <w:pPr>
              <w:numPr>
                <w:ilvl w:val="0"/>
                <w:numId w:val="2"/>
              </w:numPr>
              <w:spacing w:beforeLines="40" w:before="96" w:afterLines="40" w:after="96" w:line="240" w:lineRule="auto"/>
              <w:rPr>
                <w:rFonts w:ascii="Arial" w:eastAsia="Calibri" w:hAnsi="Arial" w:cs="Arial"/>
                <w:sz w:val="20"/>
                <w:szCs w:val="20"/>
                <w:lang w:eastAsia="de-DE"/>
              </w:rPr>
            </w:pPr>
            <w:r w:rsidRPr="002960F6">
              <w:rPr>
                <w:rFonts w:ascii="Arial" w:eastAsia="Calibri" w:hAnsi="Arial" w:cs="Arial"/>
                <w:sz w:val="20"/>
                <w:szCs w:val="20"/>
                <w:lang w:eastAsia="de-DE"/>
              </w:rPr>
              <w:t>Facilitating public hearing session on tariff policy and service quality</w:t>
            </w:r>
          </w:p>
        </w:tc>
      </w:tr>
      <w:tr w:rsidR="002960F6" w:rsidRPr="002960F6" w:rsidTr="009427A4">
        <w:tc>
          <w:tcPr>
            <w:tcW w:w="741" w:type="dxa"/>
            <w:vMerge w:val="restart"/>
            <w:tcBorders>
              <w:right w:val="single" w:sz="6" w:space="0" w:color="000000"/>
            </w:tcBorders>
            <w:shd w:val="clear" w:color="auto" w:fill="auto"/>
            <w:textDirection w:val="btLr"/>
            <w:vAlign w:val="center"/>
          </w:tcPr>
          <w:p w:rsidR="002960F6" w:rsidRPr="002960F6" w:rsidRDefault="002960F6" w:rsidP="002960F6">
            <w:pPr>
              <w:spacing w:beforeLines="40" w:before="96" w:afterLines="40" w:after="96" w:line="200" w:lineRule="atLeast"/>
              <w:ind w:left="113" w:right="113"/>
              <w:jc w:val="center"/>
              <w:rPr>
                <w:rFonts w:ascii="Arial" w:eastAsia="Times New Roman" w:hAnsi="Arial" w:cs="Arial"/>
                <w:b/>
                <w:sz w:val="20"/>
                <w:szCs w:val="20"/>
                <w:lang w:eastAsia="de-DE"/>
              </w:rPr>
            </w:pPr>
            <w:r w:rsidRPr="002960F6">
              <w:rPr>
                <w:rFonts w:ascii="Arial" w:eastAsia="Times New Roman" w:hAnsi="Arial" w:cs="Arial"/>
                <w:b/>
                <w:sz w:val="20"/>
                <w:szCs w:val="20"/>
                <w:lang w:eastAsia="de-DE"/>
              </w:rPr>
              <w:t>Output 2.2</w:t>
            </w:r>
          </w:p>
        </w:tc>
        <w:tc>
          <w:tcPr>
            <w:tcW w:w="2089" w:type="dxa"/>
            <w:vMerge w:val="restart"/>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b/>
                <w:sz w:val="20"/>
                <w:szCs w:val="20"/>
                <w:lang w:eastAsia="de-DE"/>
              </w:rPr>
            </w:pPr>
            <w:r w:rsidRPr="002960F6">
              <w:rPr>
                <w:rFonts w:ascii="Arial" w:eastAsia="Times New Roman" w:hAnsi="Arial" w:cs="Arial"/>
                <w:b/>
                <w:sz w:val="20"/>
                <w:szCs w:val="20"/>
                <w:lang w:eastAsia="de-DE"/>
              </w:rPr>
              <w:t>Municipal oversight over public service providers is strengthened</w:t>
            </w:r>
          </w:p>
        </w:tc>
        <w:tc>
          <w:tcPr>
            <w:tcW w:w="567"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20.</w:t>
            </w:r>
          </w:p>
        </w:tc>
        <w:tc>
          <w:tcPr>
            <w:tcW w:w="3544" w:type="dxa"/>
            <w:shd w:val="clear" w:color="auto" w:fill="auto"/>
            <w:vAlign w:val="center"/>
          </w:tcPr>
          <w:p w:rsidR="002960F6" w:rsidRPr="002960F6" w:rsidRDefault="002960F6" w:rsidP="002960F6">
            <w:pPr>
              <w:tabs>
                <w:tab w:val="left" w:pos="567"/>
              </w:tabs>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 of public service agreements between LSGs and providers with M&amp;E system integrated</w:t>
            </w:r>
          </w:p>
        </w:tc>
        <w:tc>
          <w:tcPr>
            <w:tcW w:w="1985"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color w:val="000000"/>
                <w:sz w:val="20"/>
                <w:szCs w:val="20"/>
                <w:lang w:val="en-GB" w:eastAsia="de-DE"/>
              </w:rPr>
              <w:t>Project start: Zero point</w:t>
            </w:r>
          </w:p>
        </w:tc>
        <w:tc>
          <w:tcPr>
            <w:tcW w:w="3260" w:type="dxa"/>
            <w:shd w:val="clear" w:color="auto" w:fill="auto"/>
            <w:vAlign w:val="center"/>
          </w:tcPr>
          <w:p w:rsidR="002960F6" w:rsidRPr="002960F6" w:rsidRDefault="002960F6" w:rsidP="002960F6">
            <w:pPr>
              <w:spacing w:before="40" w:after="40" w:line="200" w:lineRule="atLeast"/>
              <w:rPr>
                <w:rFonts w:ascii="Arial" w:eastAsia="Times New Roman" w:hAnsi="Arial" w:cs="Arial"/>
                <w:color w:val="000000"/>
                <w:sz w:val="20"/>
                <w:szCs w:val="20"/>
                <w:lang w:eastAsia="ru-RU"/>
              </w:rPr>
            </w:pPr>
            <w:r w:rsidRPr="002960F6">
              <w:rPr>
                <w:rFonts w:ascii="Arial" w:eastAsia="Times New Roman" w:hAnsi="Arial" w:cs="Arial"/>
                <w:color w:val="000000"/>
                <w:sz w:val="20"/>
                <w:szCs w:val="20"/>
                <w:lang w:eastAsia="de-DE"/>
              </w:rPr>
              <w:t>At least 60% of the Project municipalities (18) have agreements with service providers holding integrated M&amp;E system</w:t>
            </w:r>
          </w:p>
        </w:tc>
        <w:tc>
          <w:tcPr>
            <w:tcW w:w="1710" w:type="dxa"/>
            <w:vMerge w:val="restart"/>
            <w:shd w:val="clear" w:color="auto" w:fill="auto"/>
            <w:vAlign w:val="center"/>
          </w:tcPr>
          <w:p w:rsidR="002960F6" w:rsidRPr="002960F6" w:rsidRDefault="002960F6" w:rsidP="002960F6">
            <w:pPr>
              <w:tabs>
                <w:tab w:val="left" w:pos="567"/>
              </w:tabs>
              <w:spacing w:before="40" w:after="40"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Signed contracts between LSGs and service providers</w:t>
            </w:r>
            <w:r w:rsidRPr="002960F6">
              <w:rPr>
                <w:rFonts w:ascii="Arial" w:eastAsia="Times New Roman" w:hAnsi="Arial" w:cs="Arial"/>
                <w:sz w:val="20"/>
                <w:szCs w:val="20"/>
                <w:lang w:eastAsia="de-DE"/>
              </w:rPr>
              <w:br/>
            </w:r>
          </w:p>
          <w:p w:rsidR="002960F6" w:rsidRPr="002960F6" w:rsidRDefault="002960F6" w:rsidP="002960F6">
            <w:pPr>
              <w:tabs>
                <w:tab w:val="left" w:pos="567"/>
              </w:tabs>
              <w:spacing w:before="40" w:after="40"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lastRenderedPageBreak/>
              <w:t>Protocol of quality control visits, written service provider responses</w:t>
            </w:r>
          </w:p>
        </w:tc>
        <w:tc>
          <w:tcPr>
            <w:tcW w:w="1798" w:type="dxa"/>
            <w:vMerge w:val="restart"/>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lastRenderedPageBreak/>
              <w:t xml:space="preserve">LSGs are accountable according to legislation for the provision of local </w:t>
            </w:r>
            <w:r w:rsidRPr="002960F6">
              <w:rPr>
                <w:rFonts w:ascii="Arial" w:eastAsia="Times New Roman" w:hAnsi="Arial" w:cs="Arial"/>
                <w:sz w:val="20"/>
                <w:szCs w:val="20"/>
                <w:lang w:eastAsia="de-DE"/>
              </w:rPr>
              <w:lastRenderedPageBreak/>
              <w:t>services by service providers</w:t>
            </w:r>
          </w:p>
        </w:tc>
      </w:tr>
      <w:tr w:rsidR="002960F6" w:rsidRPr="002960F6" w:rsidTr="009427A4">
        <w:tc>
          <w:tcPr>
            <w:tcW w:w="741" w:type="dxa"/>
            <w:vMerge/>
            <w:tcBorders>
              <w:right w:val="single" w:sz="6" w:space="0" w:color="000000"/>
            </w:tcBorders>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2089"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567"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21.</w:t>
            </w:r>
          </w:p>
        </w:tc>
        <w:tc>
          <w:tcPr>
            <w:tcW w:w="3544"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 of quality control recommendations from local authorities are implemented by service providers</w:t>
            </w:r>
          </w:p>
        </w:tc>
        <w:tc>
          <w:tcPr>
            <w:tcW w:w="1985"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color w:val="000000"/>
                <w:sz w:val="20"/>
                <w:szCs w:val="20"/>
                <w:lang w:val="en-GB" w:eastAsia="de-DE"/>
              </w:rPr>
              <w:t>Project start: Zero point</w:t>
            </w:r>
          </w:p>
        </w:tc>
        <w:tc>
          <w:tcPr>
            <w:tcW w:w="3260" w:type="dxa"/>
            <w:shd w:val="clear" w:color="auto" w:fill="auto"/>
            <w:vAlign w:val="center"/>
          </w:tcPr>
          <w:p w:rsidR="002960F6" w:rsidRPr="002960F6" w:rsidRDefault="002960F6" w:rsidP="002960F6">
            <w:pPr>
              <w:spacing w:before="40" w:after="40" w:line="200" w:lineRule="atLeast"/>
              <w:rPr>
                <w:rFonts w:ascii="Arial" w:eastAsia="Times New Roman" w:hAnsi="Arial" w:cs="Arial"/>
                <w:color w:val="000000"/>
                <w:sz w:val="20"/>
                <w:szCs w:val="20"/>
                <w:lang w:eastAsia="ru-RU"/>
              </w:rPr>
            </w:pPr>
            <w:r w:rsidRPr="002960F6">
              <w:rPr>
                <w:rFonts w:ascii="Arial" w:eastAsia="Times New Roman" w:hAnsi="Arial" w:cs="Arial"/>
                <w:color w:val="000000"/>
                <w:sz w:val="20"/>
                <w:szCs w:val="20"/>
                <w:lang w:eastAsia="de-DE"/>
              </w:rPr>
              <w:t>80% of recommendations related to contract obligations (service indicators) implemented</w:t>
            </w:r>
          </w:p>
        </w:tc>
        <w:tc>
          <w:tcPr>
            <w:tcW w:w="1710"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1798"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r>
      <w:tr w:rsidR="002960F6" w:rsidRPr="002960F6" w:rsidTr="009427A4">
        <w:tc>
          <w:tcPr>
            <w:tcW w:w="15694" w:type="dxa"/>
            <w:gridSpan w:val="8"/>
            <w:tcBorders>
              <w:right w:val="single" w:sz="6" w:space="0" w:color="000000"/>
            </w:tcBorders>
            <w:shd w:val="clear" w:color="auto" w:fill="C5E0B3"/>
            <w:vAlign w:val="center"/>
          </w:tcPr>
          <w:p w:rsidR="002960F6" w:rsidRPr="002960F6" w:rsidRDefault="002960F6" w:rsidP="002960F6">
            <w:pPr>
              <w:spacing w:beforeLines="40" w:before="96" w:afterLines="40" w:after="96" w:line="200" w:lineRule="atLeast"/>
              <w:rPr>
                <w:rFonts w:ascii="Arial" w:eastAsia="Times New Roman" w:hAnsi="Arial" w:cs="Arial"/>
                <w:b/>
                <w:i/>
                <w:sz w:val="20"/>
                <w:szCs w:val="20"/>
                <w:lang w:eastAsia="de-DE"/>
              </w:rPr>
            </w:pPr>
            <w:r w:rsidRPr="002960F6">
              <w:rPr>
                <w:rFonts w:ascii="Arial" w:eastAsia="Times New Roman" w:hAnsi="Arial" w:cs="Arial"/>
                <w:b/>
                <w:sz w:val="20"/>
                <w:szCs w:val="20"/>
                <w:lang w:eastAsia="de-DE"/>
              </w:rPr>
              <w:lastRenderedPageBreak/>
              <w:t xml:space="preserve">Activities per output 2.2. </w:t>
            </w:r>
            <w:r w:rsidRPr="002960F6">
              <w:rPr>
                <w:rFonts w:ascii="Arial" w:eastAsia="Times New Roman" w:hAnsi="Arial" w:cs="Arial"/>
                <w:b/>
                <w:i/>
                <w:sz w:val="20"/>
                <w:szCs w:val="20"/>
                <w:lang w:eastAsia="de-DE"/>
              </w:rPr>
              <w:t>Municipal oversight over public service providers is strengthened</w:t>
            </w:r>
          </w:p>
        </w:tc>
      </w:tr>
      <w:tr w:rsidR="002960F6" w:rsidRPr="002960F6" w:rsidTr="009427A4">
        <w:tc>
          <w:tcPr>
            <w:tcW w:w="15694" w:type="dxa"/>
            <w:gridSpan w:val="8"/>
            <w:tcBorders>
              <w:right w:val="single" w:sz="6" w:space="0" w:color="000000"/>
            </w:tcBorders>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b/>
                <w:sz w:val="20"/>
                <w:szCs w:val="20"/>
                <w:lang w:eastAsia="de-DE"/>
              </w:rPr>
            </w:pPr>
            <w:r w:rsidRPr="002960F6">
              <w:rPr>
                <w:rFonts w:ascii="Arial" w:eastAsia="Times New Roman" w:hAnsi="Arial" w:cs="Arial"/>
                <w:b/>
                <w:sz w:val="20"/>
                <w:szCs w:val="20"/>
                <w:lang w:eastAsia="de-DE"/>
              </w:rPr>
              <w:t>List of activities for output 2.2:</w:t>
            </w:r>
          </w:p>
          <w:p w:rsidR="002960F6" w:rsidRPr="002960F6" w:rsidRDefault="002960F6" w:rsidP="002960F6">
            <w:pPr>
              <w:numPr>
                <w:ilvl w:val="0"/>
                <w:numId w:val="2"/>
              </w:numPr>
              <w:spacing w:beforeLines="40" w:before="96" w:afterLines="40" w:after="96" w:line="240" w:lineRule="auto"/>
              <w:rPr>
                <w:rFonts w:ascii="Arial" w:eastAsia="Calibri" w:hAnsi="Arial" w:cs="Arial"/>
                <w:sz w:val="20"/>
                <w:szCs w:val="20"/>
                <w:lang w:eastAsia="de-DE"/>
              </w:rPr>
            </w:pPr>
            <w:r w:rsidRPr="002960F6">
              <w:rPr>
                <w:rFonts w:ascii="Arial" w:eastAsia="Calibri" w:hAnsi="Arial" w:cs="Arial"/>
                <w:sz w:val="20"/>
                <w:szCs w:val="20"/>
                <w:lang w:eastAsia="de-DE"/>
              </w:rPr>
              <w:t>Elaboration of recommendations and trainings for LSGs executive on control of public service agreements</w:t>
            </w:r>
          </w:p>
          <w:p w:rsidR="002960F6" w:rsidRPr="002960F6" w:rsidRDefault="002960F6" w:rsidP="002960F6">
            <w:pPr>
              <w:numPr>
                <w:ilvl w:val="0"/>
                <w:numId w:val="2"/>
              </w:numPr>
              <w:spacing w:beforeLines="40" w:before="96" w:afterLines="40" w:after="96" w:line="240" w:lineRule="auto"/>
              <w:rPr>
                <w:rFonts w:ascii="Arial" w:eastAsia="Calibri" w:hAnsi="Arial" w:cs="Arial"/>
                <w:sz w:val="20"/>
                <w:szCs w:val="20"/>
                <w:lang w:eastAsia="de-DE"/>
              </w:rPr>
            </w:pPr>
            <w:r w:rsidRPr="002960F6">
              <w:rPr>
                <w:rFonts w:ascii="Arial" w:eastAsia="Calibri" w:hAnsi="Arial" w:cs="Arial"/>
                <w:sz w:val="20"/>
                <w:szCs w:val="20"/>
                <w:lang w:eastAsia="de-DE"/>
              </w:rPr>
              <w:t>Training for local councils on their competencies in service provision oversight</w:t>
            </w:r>
          </w:p>
        </w:tc>
      </w:tr>
      <w:tr w:rsidR="002960F6" w:rsidRPr="002960F6" w:rsidTr="002960F6">
        <w:trPr>
          <w:trHeight w:val="932"/>
        </w:trPr>
        <w:tc>
          <w:tcPr>
            <w:tcW w:w="741" w:type="dxa"/>
            <w:vMerge w:val="restart"/>
            <w:tcBorders>
              <w:right w:val="single" w:sz="6" w:space="0" w:color="000000"/>
            </w:tcBorders>
            <w:shd w:val="clear" w:color="auto" w:fill="auto"/>
            <w:textDirection w:val="btLr"/>
            <w:vAlign w:val="center"/>
          </w:tcPr>
          <w:p w:rsidR="002960F6" w:rsidRPr="002960F6" w:rsidRDefault="002960F6" w:rsidP="002960F6">
            <w:pPr>
              <w:spacing w:beforeLines="40" w:before="96" w:afterLines="40" w:after="96" w:line="200" w:lineRule="atLeast"/>
              <w:ind w:left="113" w:right="113"/>
              <w:jc w:val="center"/>
              <w:rPr>
                <w:rFonts w:ascii="Arial" w:eastAsia="Times New Roman" w:hAnsi="Arial" w:cs="Arial"/>
                <w:b/>
                <w:sz w:val="20"/>
                <w:szCs w:val="20"/>
                <w:lang w:eastAsia="de-DE"/>
              </w:rPr>
            </w:pPr>
            <w:r w:rsidRPr="002960F6">
              <w:rPr>
                <w:rFonts w:ascii="Arial" w:eastAsia="Times New Roman" w:hAnsi="Arial" w:cs="Arial"/>
                <w:b/>
                <w:sz w:val="20"/>
                <w:szCs w:val="20"/>
                <w:lang w:eastAsia="de-DE"/>
              </w:rPr>
              <w:t>Output 2.3</w:t>
            </w:r>
          </w:p>
        </w:tc>
        <w:tc>
          <w:tcPr>
            <w:tcW w:w="2089" w:type="dxa"/>
            <w:vMerge w:val="restart"/>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b/>
                <w:sz w:val="20"/>
                <w:szCs w:val="20"/>
                <w:lang w:eastAsia="de-DE"/>
              </w:rPr>
            </w:pPr>
            <w:r w:rsidRPr="002960F6">
              <w:rPr>
                <w:rFonts w:ascii="Arial" w:eastAsia="Times New Roman" w:hAnsi="Arial" w:cs="Arial"/>
                <w:b/>
                <w:sz w:val="20"/>
                <w:szCs w:val="20"/>
                <w:lang w:eastAsia="de-DE"/>
              </w:rPr>
              <w:t>Advocacy and information dissemination capacities of municipalities and national counterparts are strengthened</w:t>
            </w:r>
          </w:p>
        </w:tc>
        <w:tc>
          <w:tcPr>
            <w:tcW w:w="567"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22.</w:t>
            </w:r>
          </w:p>
        </w:tc>
        <w:tc>
          <w:tcPr>
            <w:tcW w:w="3544" w:type="dxa"/>
            <w:shd w:val="clear" w:color="auto" w:fill="auto"/>
            <w:vAlign w:val="center"/>
          </w:tcPr>
          <w:p w:rsidR="002960F6" w:rsidRPr="002960F6" w:rsidRDefault="002960F6" w:rsidP="002960F6">
            <w:pPr>
              <w:tabs>
                <w:tab w:val="left" w:pos="567"/>
              </w:tabs>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 of requests by municipalities formulated and taken up by Union of LSG/SALSGIR</w:t>
            </w:r>
          </w:p>
        </w:tc>
        <w:tc>
          <w:tcPr>
            <w:tcW w:w="1985"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color w:val="000000"/>
                <w:sz w:val="20"/>
                <w:szCs w:val="20"/>
                <w:lang w:val="en-GB" w:eastAsia="de-DE"/>
              </w:rPr>
              <w:t>Project start: Zero point</w:t>
            </w:r>
          </w:p>
        </w:tc>
        <w:tc>
          <w:tcPr>
            <w:tcW w:w="3260" w:type="dxa"/>
            <w:shd w:val="clear" w:color="auto" w:fill="auto"/>
            <w:vAlign w:val="center"/>
          </w:tcPr>
          <w:p w:rsidR="002960F6" w:rsidRPr="002960F6" w:rsidRDefault="002960F6" w:rsidP="002960F6">
            <w:pPr>
              <w:spacing w:before="40" w:after="40" w:line="200" w:lineRule="atLeast"/>
              <w:rPr>
                <w:rFonts w:ascii="Arial" w:eastAsia="Times New Roman" w:hAnsi="Arial" w:cs="Arial"/>
                <w:color w:val="000000"/>
                <w:sz w:val="20"/>
                <w:szCs w:val="20"/>
                <w:lang w:eastAsia="ru-RU"/>
              </w:rPr>
            </w:pPr>
            <w:r w:rsidRPr="002960F6">
              <w:rPr>
                <w:rFonts w:ascii="Arial" w:eastAsia="Times New Roman" w:hAnsi="Arial" w:cs="Arial"/>
                <w:color w:val="000000"/>
                <w:sz w:val="20"/>
                <w:szCs w:val="20"/>
                <w:lang w:eastAsia="de-DE"/>
              </w:rPr>
              <w:t>SALSGIR and the Union of LSG process at least two requests per year (totally at least 8 requests in phase 1)</w:t>
            </w:r>
          </w:p>
        </w:tc>
        <w:tc>
          <w:tcPr>
            <w:tcW w:w="1710" w:type="dxa"/>
            <w:vMerge w:val="restart"/>
            <w:shd w:val="clear" w:color="auto" w:fill="auto"/>
            <w:vAlign w:val="center"/>
          </w:tcPr>
          <w:p w:rsidR="002960F6" w:rsidRPr="002960F6" w:rsidRDefault="002960F6" w:rsidP="002960F6">
            <w:pPr>
              <w:tabs>
                <w:tab w:val="left" w:pos="567"/>
              </w:tabs>
              <w:spacing w:before="40" w:after="40"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Records of Union of LSG/SALSGIR</w:t>
            </w:r>
          </w:p>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Reports of State Personnel Services</w:t>
            </w:r>
          </w:p>
        </w:tc>
        <w:tc>
          <w:tcPr>
            <w:tcW w:w="1798" w:type="dxa"/>
            <w:vMerge w:val="restart"/>
            <w:shd w:val="clear" w:color="auto" w:fill="auto"/>
            <w:vAlign w:val="center"/>
          </w:tcPr>
          <w:p w:rsidR="002960F6" w:rsidRPr="002960F6" w:rsidRDefault="002960F6" w:rsidP="002960F6">
            <w:pPr>
              <w:spacing w:before="40" w:after="40"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The Union of LSGs performs its role on support to initiatives from the LSGs, prescribed in its Charter</w:t>
            </w:r>
          </w:p>
          <w:p w:rsidR="002960F6" w:rsidRPr="002960F6" w:rsidRDefault="002960F6" w:rsidP="002960F6">
            <w:pPr>
              <w:spacing w:before="40" w:after="40"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SALSGIR performs its role of participating in regulatory framework formulation related to service provision</w:t>
            </w:r>
          </w:p>
          <w:p w:rsidR="002960F6" w:rsidRPr="002960F6" w:rsidRDefault="002960F6" w:rsidP="002960F6">
            <w:pPr>
              <w:spacing w:before="40" w:after="40"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The Union of LSGs actively cooperates with the project</w:t>
            </w:r>
          </w:p>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National program on trainings for the municipal servants available</w:t>
            </w:r>
          </w:p>
        </w:tc>
      </w:tr>
      <w:tr w:rsidR="002960F6" w:rsidRPr="002960F6" w:rsidTr="009427A4">
        <w:tc>
          <w:tcPr>
            <w:tcW w:w="741" w:type="dxa"/>
            <w:vMerge/>
            <w:tcBorders>
              <w:right w:val="single" w:sz="6" w:space="0" w:color="000000"/>
            </w:tcBorders>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2089"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567"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23.</w:t>
            </w:r>
          </w:p>
        </w:tc>
        <w:tc>
          <w:tcPr>
            <w:tcW w:w="3544" w:type="dxa"/>
            <w:shd w:val="clear" w:color="auto" w:fill="auto"/>
            <w:vAlign w:val="center"/>
          </w:tcPr>
          <w:p w:rsidR="002960F6" w:rsidRPr="002960F6" w:rsidRDefault="002960F6" w:rsidP="002960F6">
            <w:pPr>
              <w:tabs>
                <w:tab w:val="left" w:pos="567"/>
              </w:tabs>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 regional events on experience sharing organized by Union of LSG/SALSGIR</w:t>
            </w:r>
          </w:p>
        </w:tc>
        <w:tc>
          <w:tcPr>
            <w:tcW w:w="1985"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color w:val="000000"/>
                <w:sz w:val="20"/>
                <w:szCs w:val="20"/>
                <w:lang w:val="en-GB" w:eastAsia="de-DE"/>
              </w:rPr>
              <w:t>Project start: Zero point</w:t>
            </w:r>
          </w:p>
        </w:tc>
        <w:tc>
          <w:tcPr>
            <w:tcW w:w="3260" w:type="dxa"/>
            <w:shd w:val="clear" w:color="auto" w:fill="auto"/>
            <w:vAlign w:val="center"/>
          </w:tcPr>
          <w:p w:rsidR="002960F6" w:rsidRPr="002960F6" w:rsidRDefault="002960F6" w:rsidP="002960F6">
            <w:pPr>
              <w:spacing w:before="40" w:after="40" w:line="200" w:lineRule="atLeast"/>
              <w:rPr>
                <w:rFonts w:ascii="Arial" w:eastAsia="Times New Roman" w:hAnsi="Arial" w:cs="Arial"/>
                <w:color w:val="000000"/>
                <w:sz w:val="20"/>
                <w:szCs w:val="20"/>
                <w:lang w:eastAsia="ru-RU"/>
              </w:rPr>
            </w:pPr>
            <w:r w:rsidRPr="002960F6">
              <w:rPr>
                <w:rFonts w:ascii="Arial" w:eastAsia="Times New Roman" w:hAnsi="Arial" w:cs="Arial"/>
                <w:color w:val="000000"/>
                <w:sz w:val="20"/>
                <w:szCs w:val="20"/>
                <w:lang w:eastAsia="de-DE"/>
              </w:rPr>
              <w:t>SALSGIR and the Union of LSG conduct at least two regional events a year (totally at least 8 events in phase 1)</w:t>
            </w:r>
          </w:p>
        </w:tc>
        <w:tc>
          <w:tcPr>
            <w:tcW w:w="1710"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1798"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r>
      <w:tr w:rsidR="002960F6" w:rsidRPr="002960F6" w:rsidTr="009427A4">
        <w:tc>
          <w:tcPr>
            <w:tcW w:w="741" w:type="dxa"/>
            <w:vMerge/>
            <w:tcBorders>
              <w:right w:val="single" w:sz="6" w:space="0" w:color="000000"/>
            </w:tcBorders>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2089"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567"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24.</w:t>
            </w:r>
          </w:p>
        </w:tc>
        <w:tc>
          <w:tcPr>
            <w:tcW w:w="3544" w:type="dxa"/>
            <w:shd w:val="clear" w:color="auto" w:fill="auto"/>
            <w:vAlign w:val="center"/>
          </w:tcPr>
          <w:p w:rsidR="002960F6" w:rsidRPr="002960F6" w:rsidRDefault="002960F6" w:rsidP="002960F6">
            <w:pPr>
              <w:tabs>
                <w:tab w:val="left" w:pos="567"/>
              </w:tabs>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 of regulations on service provision proposed by</w:t>
            </w:r>
            <w:r w:rsidRPr="002960F6">
              <w:rPr>
                <w:rFonts w:ascii="Arial" w:eastAsia="Times New Roman" w:hAnsi="Arial" w:cs="Arial"/>
                <w:b/>
                <w:sz w:val="20"/>
                <w:szCs w:val="20"/>
                <w:lang w:eastAsia="de-DE"/>
              </w:rPr>
              <w:t xml:space="preserve"> </w:t>
            </w:r>
            <w:r w:rsidRPr="002960F6">
              <w:rPr>
                <w:rFonts w:ascii="Arial" w:eastAsia="Times New Roman" w:hAnsi="Arial" w:cs="Arial"/>
                <w:sz w:val="20"/>
                <w:szCs w:val="20"/>
                <w:lang w:eastAsia="de-DE"/>
              </w:rPr>
              <w:t>SALSGIR and other state structures</w:t>
            </w:r>
          </w:p>
        </w:tc>
        <w:tc>
          <w:tcPr>
            <w:tcW w:w="1985"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color w:val="000000"/>
                <w:sz w:val="20"/>
                <w:szCs w:val="20"/>
                <w:lang w:val="en-GB" w:eastAsia="de-DE"/>
              </w:rPr>
              <w:t>Project start: Zero point</w:t>
            </w:r>
          </w:p>
        </w:tc>
        <w:tc>
          <w:tcPr>
            <w:tcW w:w="3260"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color w:val="000000"/>
                <w:sz w:val="20"/>
                <w:szCs w:val="20"/>
                <w:lang w:eastAsia="de-DE"/>
              </w:rPr>
              <w:t>At least 4 propositions in relation to service provision forwarded to relevant Government agency/parliament</w:t>
            </w:r>
          </w:p>
        </w:tc>
        <w:tc>
          <w:tcPr>
            <w:tcW w:w="1710"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1798"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r>
      <w:tr w:rsidR="002960F6" w:rsidRPr="002960F6" w:rsidTr="009427A4">
        <w:tc>
          <w:tcPr>
            <w:tcW w:w="741" w:type="dxa"/>
            <w:vMerge/>
            <w:tcBorders>
              <w:right w:val="single" w:sz="6" w:space="0" w:color="000000"/>
            </w:tcBorders>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2089"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567"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25.</w:t>
            </w:r>
          </w:p>
        </w:tc>
        <w:tc>
          <w:tcPr>
            <w:tcW w:w="3544"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sz w:val="20"/>
                <w:szCs w:val="20"/>
                <w:lang w:eastAsia="de-DE"/>
              </w:rPr>
              <w:t># of municipal servants trained by State Personnel Service</w:t>
            </w:r>
          </w:p>
        </w:tc>
        <w:tc>
          <w:tcPr>
            <w:tcW w:w="1985" w:type="dxa"/>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r w:rsidRPr="002960F6">
              <w:rPr>
                <w:rFonts w:ascii="Arial" w:eastAsia="Times New Roman" w:hAnsi="Arial" w:cs="Arial"/>
                <w:color w:val="000000"/>
                <w:sz w:val="20"/>
                <w:szCs w:val="20"/>
                <w:lang w:val="en-GB" w:eastAsia="de-DE"/>
              </w:rPr>
              <w:t>Project start: Zero point</w:t>
            </w:r>
          </w:p>
        </w:tc>
        <w:tc>
          <w:tcPr>
            <w:tcW w:w="3260" w:type="dxa"/>
            <w:shd w:val="clear" w:color="auto" w:fill="auto"/>
            <w:vAlign w:val="center"/>
          </w:tcPr>
          <w:p w:rsidR="002960F6" w:rsidRPr="002960F6" w:rsidRDefault="002960F6" w:rsidP="002960F6">
            <w:pPr>
              <w:spacing w:before="40" w:after="40" w:line="200" w:lineRule="atLeast"/>
              <w:rPr>
                <w:rFonts w:ascii="Arial" w:eastAsia="Times New Roman" w:hAnsi="Arial" w:cs="Arial"/>
                <w:color w:val="000000"/>
                <w:sz w:val="20"/>
                <w:szCs w:val="20"/>
                <w:lang w:eastAsia="ru-RU"/>
              </w:rPr>
            </w:pPr>
            <w:r w:rsidRPr="002960F6">
              <w:rPr>
                <w:rFonts w:ascii="Arial" w:eastAsia="Times New Roman" w:hAnsi="Arial" w:cs="Arial"/>
                <w:color w:val="000000"/>
                <w:sz w:val="20"/>
                <w:szCs w:val="20"/>
                <w:lang w:eastAsia="de-DE"/>
              </w:rPr>
              <w:t xml:space="preserve">At least one employee from all 484 municipalities (453 </w:t>
            </w:r>
            <w:proofErr w:type="spellStart"/>
            <w:r w:rsidRPr="002960F6">
              <w:rPr>
                <w:rFonts w:ascii="Arial" w:eastAsia="Times New Roman" w:hAnsi="Arial" w:cs="Arial"/>
                <w:color w:val="000000"/>
                <w:sz w:val="20"/>
                <w:szCs w:val="20"/>
                <w:lang w:eastAsia="de-DE"/>
              </w:rPr>
              <w:t>Ayil</w:t>
            </w:r>
            <w:proofErr w:type="spellEnd"/>
            <w:r w:rsidRPr="002960F6">
              <w:rPr>
                <w:rFonts w:ascii="Arial" w:eastAsia="Times New Roman" w:hAnsi="Arial" w:cs="Arial"/>
                <w:color w:val="000000"/>
                <w:sz w:val="20"/>
                <w:szCs w:val="20"/>
                <w:lang w:eastAsia="de-DE"/>
              </w:rPr>
              <w:t xml:space="preserve"> </w:t>
            </w:r>
            <w:proofErr w:type="spellStart"/>
            <w:r w:rsidRPr="002960F6">
              <w:rPr>
                <w:rFonts w:ascii="Arial" w:eastAsia="Times New Roman" w:hAnsi="Arial" w:cs="Arial"/>
                <w:color w:val="000000"/>
                <w:sz w:val="20"/>
                <w:szCs w:val="20"/>
                <w:lang w:eastAsia="de-DE"/>
              </w:rPr>
              <w:t>Aimaks</w:t>
            </w:r>
            <w:proofErr w:type="spellEnd"/>
            <w:r w:rsidRPr="002960F6">
              <w:rPr>
                <w:rFonts w:ascii="Arial" w:eastAsia="Times New Roman" w:hAnsi="Arial" w:cs="Arial"/>
                <w:color w:val="000000"/>
                <w:sz w:val="20"/>
                <w:szCs w:val="20"/>
                <w:lang w:eastAsia="de-DE"/>
              </w:rPr>
              <w:t xml:space="preserve"> and 31 towns) trained by State Personnel Department on services according to the modules developed with the Project support </w:t>
            </w:r>
          </w:p>
        </w:tc>
        <w:tc>
          <w:tcPr>
            <w:tcW w:w="1710"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c>
          <w:tcPr>
            <w:tcW w:w="1798" w:type="dxa"/>
            <w:vMerge/>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sz w:val="20"/>
                <w:szCs w:val="20"/>
                <w:lang w:eastAsia="de-DE"/>
              </w:rPr>
            </w:pPr>
          </w:p>
        </w:tc>
      </w:tr>
      <w:tr w:rsidR="002960F6" w:rsidRPr="002960F6" w:rsidTr="009427A4">
        <w:tc>
          <w:tcPr>
            <w:tcW w:w="15694" w:type="dxa"/>
            <w:gridSpan w:val="8"/>
            <w:tcBorders>
              <w:right w:val="single" w:sz="6" w:space="0" w:color="000000"/>
            </w:tcBorders>
            <w:shd w:val="clear" w:color="auto" w:fill="C5E0B3"/>
            <w:vAlign w:val="center"/>
          </w:tcPr>
          <w:p w:rsidR="002960F6" w:rsidRPr="002960F6" w:rsidRDefault="002960F6" w:rsidP="002960F6">
            <w:pPr>
              <w:spacing w:beforeLines="40" w:before="96" w:afterLines="40" w:after="96" w:line="200" w:lineRule="atLeast"/>
              <w:rPr>
                <w:rFonts w:ascii="Arial" w:eastAsia="Times New Roman" w:hAnsi="Arial" w:cs="Arial"/>
                <w:b/>
                <w:i/>
                <w:sz w:val="20"/>
                <w:szCs w:val="20"/>
                <w:lang w:eastAsia="de-DE"/>
              </w:rPr>
            </w:pPr>
            <w:r w:rsidRPr="002960F6">
              <w:rPr>
                <w:rFonts w:ascii="Arial" w:eastAsia="Times New Roman" w:hAnsi="Arial" w:cs="Arial"/>
                <w:b/>
                <w:sz w:val="20"/>
                <w:szCs w:val="20"/>
                <w:lang w:eastAsia="de-DE"/>
              </w:rPr>
              <w:lastRenderedPageBreak/>
              <w:t xml:space="preserve">Activities per output 2.3. </w:t>
            </w:r>
            <w:r w:rsidRPr="002960F6">
              <w:rPr>
                <w:rFonts w:ascii="Arial" w:eastAsia="Times New Roman" w:hAnsi="Arial" w:cs="Arial"/>
                <w:b/>
                <w:i/>
                <w:sz w:val="20"/>
                <w:szCs w:val="20"/>
                <w:lang w:eastAsia="de-DE"/>
              </w:rPr>
              <w:t>Advocacy and information dissemination capacities of municipalities and national counterparts are strengthened</w:t>
            </w:r>
          </w:p>
        </w:tc>
      </w:tr>
      <w:tr w:rsidR="002960F6" w:rsidRPr="002960F6" w:rsidTr="009427A4">
        <w:tc>
          <w:tcPr>
            <w:tcW w:w="15694" w:type="dxa"/>
            <w:gridSpan w:val="8"/>
            <w:tcBorders>
              <w:right w:val="single" w:sz="6" w:space="0" w:color="000000"/>
            </w:tcBorders>
            <w:shd w:val="clear" w:color="auto" w:fill="auto"/>
            <w:vAlign w:val="center"/>
          </w:tcPr>
          <w:p w:rsidR="002960F6" w:rsidRPr="002960F6" w:rsidRDefault="002960F6" w:rsidP="002960F6">
            <w:pPr>
              <w:spacing w:beforeLines="40" w:before="96" w:afterLines="40" w:after="96" w:line="200" w:lineRule="atLeast"/>
              <w:rPr>
                <w:rFonts w:ascii="Arial" w:eastAsia="Times New Roman" w:hAnsi="Arial" w:cs="Arial"/>
                <w:b/>
                <w:sz w:val="20"/>
                <w:szCs w:val="20"/>
                <w:lang w:eastAsia="de-DE"/>
              </w:rPr>
            </w:pPr>
            <w:r w:rsidRPr="002960F6">
              <w:rPr>
                <w:rFonts w:ascii="Arial" w:eastAsia="Times New Roman" w:hAnsi="Arial" w:cs="Arial"/>
                <w:b/>
                <w:sz w:val="20"/>
                <w:szCs w:val="20"/>
                <w:lang w:eastAsia="de-DE"/>
              </w:rPr>
              <w:t>List of activities for output 2.3:</w:t>
            </w:r>
          </w:p>
          <w:p w:rsidR="002960F6" w:rsidRPr="002960F6" w:rsidRDefault="002960F6" w:rsidP="002960F6">
            <w:pPr>
              <w:numPr>
                <w:ilvl w:val="0"/>
                <w:numId w:val="3"/>
              </w:numPr>
              <w:spacing w:beforeLines="40" w:before="96" w:afterLines="40" w:after="96" w:line="240" w:lineRule="auto"/>
              <w:rPr>
                <w:rFonts w:ascii="Arial" w:eastAsia="Calibri" w:hAnsi="Arial" w:cs="Arial"/>
                <w:sz w:val="20"/>
                <w:szCs w:val="20"/>
                <w:lang w:eastAsia="de-DE"/>
              </w:rPr>
            </w:pPr>
            <w:r w:rsidRPr="002960F6">
              <w:rPr>
                <w:rFonts w:ascii="Arial" w:eastAsia="Calibri" w:hAnsi="Arial" w:cs="Arial"/>
                <w:sz w:val="20"/>
                <w:szCs w:val="20"/>
                <w:lang w:eastAsia="de-DE"/>
              </w:rPr>
              <w:t>Facilitating the process of interaction between LSGs and governmental bodies by supporting LSG Union and SALSGIR to conduct regional events and activities</w:t>
            </w:r>
          </w:p>
          <w:p w:rsidR="002960F6" w:rsidRPr="002960F6" w:rsidRDefault="002960F6" w:rsidP="002960F6">
            <w:pPr>
              <w:numPr>
                <w:ilvl w:val="0"/>
                <w:numId w:val="3"/>
              </w:numPr>
              <w:spacing w:beforeLines="40" w:before="96" w:afterLines="40" w:after="96" w:line="240" w:lineRule="auto"/>
              <w:rPr>
                <w:rFonts w:ascii="Arial" w:eastAsia="Calibri" w:hAnsi="Arial" w:cs="Arial"/>
                <w:sz w:val="20"/>
                <w:szCs w:val="20"/>
                <w:lang w:eastAsia="de-DE"/>
              </w:rPr>
            </w:pPr>
            <w:r w:rsidRPr="002960F6">
              <w:rPr>
                <w:rFonts w:ascii="Arial" w:eastAsia="Calibri" w:hAnsi="Arial" w:cs="Arial"/>
                <w:sz w:val="20"/>
                <w:szCs w:val="20"/>
                <w:lang w:eastAsia="de-DE"/>
              </w:rPr>
              <w:t>Supporting regional advocacy initiatives of municipalities</w:t>
            </w:r>
          </w:p>
          <w:p w:rsidR="002960F6" w:rsidRPr="002960F6" w:rsidRDefault="002960F6" w:rsidP="002960F6">
            <w:pPr>
              <w:numPr>
                <w:ilvl w:val="0"/>
                <w:numId w:val="3"/>
              </w:numPr>
              <w:spacing w:beforeLines="40" w:before="96" w:afterLines="40" w:after="96" w:line="240" w:lineRule="auto"/>
              <w:rPr>
                <w:rFonts w:ascii="Arial" w:eastAsia="Calibri" w:hAnsi="Arial" w:cs="Arial"/>
                <w:sz w:val="20"/>
                <w:szCs w:val="20"/>
                <w:lang w:eastAsia="de-DE"/>
              </w:rPr>
            </w:pPr>
            <w:r w:rsidRPr="002960F6">
              <w:rPr>
                <w:rFonts w:ascii="Arial" w:eastAsia="Calibri" w:hAnsi="Arial" w:cs="Arial"/>
                <w:sz w:val="20"/>
                <w:szCs w:val="20"/>
                <w:lang w:eastAsia="de-DE"/>
              </w:rPr>
              <w:t xml:space="preserve">Technical support to Union of LSGs and SALSGIR in conducting analysis and elaborating and forwarding policy regulations and recommendations </w:t>
            </w:r>
          </w:p>
          <w:p w:rsidR="002960F6" w:rsidRPr="002960F6" w:rsidRDefault="002960F6" w:rsidP="002960F6">
            <w:pPr>
              <w:numPr>
                <w:ilvl w:val="0"/>
                <w:numId w:val="3"/>
              </w:numPr>
              <w:spacing w:beforeLines="40" w:before="96" w:afterLines="40" w:after="96" w:line="240" w:lineRule="auto"/>
              <w:rPr>
                <w:rFonts w:ascii="Arial" w:eastAsia="Calibri" w:hAnsi="Arial" w:cs="Arial"/>
                <w:sz w:val="20"/>
                <w:szCs w:val="20"/>
                <w:lang w:eastAsia="de-DE"/>
              </w:rPr>
            </w:pPr>
            <w:r w:rsidRPr="002960F6">
              <w:rPr>
                <w:rFonts w:ascii="Arial" w:eastAsia="Calibri" w:hAnsi="Arial" w:cs="Arial"/>
                <w:sz w:val="20"/>
                <w:szCs w:val="20"/>
                <w:lang w:eastAsia="de-DE"/>
              </w:rPr>
              <w:t>Providing expert support for elaboration of training modules on service provision within national training program for municipal employees</w:t>
            </w:r>
          </w:p>
          <w:p w:rsidR="002960F6" w:rsidRPr="002960F6" w:rsidRDefault="002960F6" w:rsidP="002960F6">
            <w:pPr>
              <w:numPr>
                <w:ilvl w:val="0"/>
                <w:numId w:val="3"/>
              </w:numPr>
              <w:spacing w:beforeLines="40" w:before="96" w:afterLines="40" w:after="96" w:line="240" w:lineRule="auto"/>
              <w:rPr>
                <w:rFonts w:ascii="Arial" w:eastAsia="Calibri" w:hAnsi="Arial" w:cs="Arial"/>
                <w:sz w:val="20"/>
                <w:szCs w:val="20"/>
                <w:lang w:eastAsia="de-DE"/>
              </w:rPr>
            </w:pPr>
            <w:r w:rsidRPr="002960F6">
              <w:rPr>
                <w:rFonts w:ascii="Arial" w:eastAsia="Calibri" w:hAnsi="Arial" w:cs="Arial"/>
                <w:sz w:val="20"/>
                <w:szCs w:val="20"/>
                <w:lang w:eastAsia="de-DE"/>
              </w:rPr>
              <w:t>Facilitation of the interaction of LSGs and the Union of LSG with the relevant national training institutions</w:t>
            </w:r>
          </w:p>
          <w:p w:rsidR="002960F6" w:rsidRPr="002960F6" w:rsidRDefault="002960F6" w:rsidP="002960F6">
            <w:pPr>
              <w:numPr>
                <w:ilvl w:val="0"/>
                <w:numId w:val="3"/>
              </w:numPr>
              <w:spacing w:beforeLines="40" w:before="96" w:afterLines="40" w:after="96" w:line="240" w:lineRule="auto"/>
              <w:rPr>
                <w:rFonts w:ascii="Arial" w:eastAsia="Calibri" w:hAnsi="Arial" w:cs="Arial"/>
                <w:sz w:val="20"/>
                <w:szCs w:val="20"/>
                <w:lang w:eastAsia="de-DE"/>
              </w:rPr>
            </w:pPr>
            <w:r w:rsidRPr="002960F6">
              <w:rPr>
                <w:rFonts w:ascii="Arial" w:eastAsia="Calibri" w:hAnsi="Arial" w:cs="Arial"/>
                <w:sz w:val="20"/>
                <w:szCs w:val="20"/>
                <w:lang w:eastAsia="de-DE"/>
              </w:rPr>
              <w:t>Supporting annual municipal servants training impact evaluation</w:t>
            </w:r>
          </w:p>
        </w:tc>
      </w:tr>
    </w:tbl>
    <w:p w:rsidR="006452E0" w:rsidRDefault="006452E0" w:rsidP="002960F6"/>
    <w:sectPr w:rsidR="006452E0" w:rsidSect="002960F6">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0F6" w:rsidRDefault="002960F6" w:rsidP="002960F6">
      <w:pPr>
        <w:spacing w:after="0" w:line="240" w:lineRule="auto"/>
      </w:pPr>
      <w:r>
        <w:separator/>
      </w:r>
    </w:p>
  </w:endnote>
  <w:endnote w:type="continuationSeparator" w:id="0">
    <w:p w:rsidR="002960F6" w:rsidRDefault="002960F6" w:rsidP="00296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672638"/>
      <w:docPartObj>
        <w:docPartGallery w:val="Page Numbers (Bottom of Page)"/>
        <w:docPartUnique/>
      </w:docPartObj>
    </w:sdtPr>
    <w:sdtEndPr>
      <w:rPr>
        <w:noProof/>
      </w:rPr>
    </w:sdtEndPr>
    <w:sdtContent>
      <w:p w:rsidR="00434A0B" w:rsidRDefault="00434A0B">
        <w:pPr>
          <w:pStyle w:val="Footer"/>
          <w:jc w:val="right"/>
        </w:pPr>
        <w:r>
          <w:fldChar w:fldCharType="begin"/>
        </w:r>
        <w:r>
          <w:instrText xml:space="preserve"> PAGE   \* MERGEFORMAT </w:instrText>
        </w:r>
        <w:r>
          <w:fldChar w:fldCharType="separate"/>
        </w:r>
        <w:r w:rsidR="00A90C0B">
          <w:rPr>
            <w:noProof/>
          </w:rPr>
          <w:t>4</w:t>
        </w:r>
        <w:r>
          <w:rPr>
            <w:noProof/>
          </w:rPr>
          <w:fldChar w:fldCharType="end"/>
        </w:r>
      </w:p>
    </w:sdtContent>
  </w:sdt>
  <w:p w:rsidR="00434A0B" w:rsidRDefault="00434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0F6" w:rsidRDefault="002960F6" w:rsidP="002960F6">
      <w:pPr>
        <w:spacing w:after="0" w:line="240" w:lineRule="auto"/>
      </w:pPr>
      <w:r>
        <w:separator/>
      </w:r>
    </w:p>
  </w:footnote>
  <w:footnote w:type="continuationSeparator" w:id="0">
    <w:p w:rsidR="002960F6" w:rsidRDefault="002960F6" w:rsidP="002960F6">
      <w:pPr>
        <w:spacing w:after="0" w:line="240" w:lineRule="auto"/>
      </w:pPr>
      <w:r>
        <w:continuationSeparator/>
      </w:r>
    </w:p>
  </w:footnote>
  <w:footnote w:id="1">
    <w:p w:rsidR="002960F6" w:rsidRPr="008931F7" w:rsidRDefault="002960F6" w:rsidP="002960F6">
      <w:pPr>
        <w:pStyle w:val="CommentText"/>
        <w:rPr>
          <w:sz w:val="18"/>
          <w:szCs w:val="18"/>
          <w:lang w:val="en-US"/>
        </w:rPr>
      </w:pPr>
      <w:r w:rsidRPr="008931F7">
        <w:rPr>
          <w:rStyle w:val="FootnoteReference"/>
          <w:sz w:val="18"/>
          <w:szCs w:val="18"/>
        </w:rPr>
        <w:footnoteRef/>
      </w:r>
      <w:r w:rsidRPr="008931F7">
        <w:rPr>
          <w:sz w:val="18"/>
          <w:szCs w:val="18"/>
          <w:lang w:val="en-US"/>
        </w:rPr>
        <w:t xml:space="preserve"> The local policy on service provision – integrated indicator, which includes the following products:</w:t>
      </w:r>
    </w:p>
    <w:p w:rsidR="002960F6" w:rsidRPr="008931F7" w:rsidRDefault="002960F6" w:rsidP="002960F6">
      <w:pPr>
        <w:pStyle w:val="CommentText"/>
        <w:numPr>
          <w:ilvl w:val="0"/>
          <w:numId w:val="1"/>
        </w:numPr>
        <w:spacing w:after="0" w:line="240" w:lineRule="auto"/>
        <w:rPr>
          <w:sz w:val="18"/>
          <w:szCs w:val="18"/>
          <w:lang w:val="en-US"/>
        </w:rPr>
      </w:pPr>
      <w:r w:rsidRPr="008931F7">
        <w:rPr>
          <w:sz w:val="18"/>
          <w:szCs w:val="18"/>
          <w:lang w:val="en-US"/>
        </w:rPr>
        <w:t>Local register of services - legal request to LSG to prepare list of services provided by LSG. LSG cannot provide service which is not included into the register of services</w:t>
      </w:r>
    </w:p>
    <w:p w:rsidR="002960F6" w:rsidRPr="008931F7" w:rsidRDefault="002960F6" w:rsidP="002960F6">
      <w:pPr>
        <w:pStyle w:val="CommentText"/>
        <w:numPr>
          <w:ilvl w:val="0"/>
          <w:numId w:val="1"/>
        </w:numPr>
        <w:spacing w:after="0" w:line="240" w:lineRule="auto"/>
        <w:rPr>
          <w:sz w:val="18"/>
          <w:szCs w:val="18"/>
          <w:lang w:val="en-US"/>
        </w:rPr>
      </w:pPr>
      <w:r w:rsidRPr="008931F7">
        <w:rPr>
          <w:sz w:val="18"/>
          <w:szCs w:val="18"/>
          <w:lang w:val="en-US"/>
        </w:rPr>
        <w:t>Local community charters with procedures which allow participation of the citizens</w:t>
      </w:r>
    </w:p>
    <w:p w:rsidR="002960F6" w:rsidRPr="008931F7" w:rsidRDefault="002960F6" w:rsidP="002960F6">
      <w:pPr>
        <w:pStyle w:val="CommentText"/>
        <w:numPr>
          <w:ilvl w:val="0"/>
          <w:numId w:val="1"/>
        </w:numPr>
        <w:spacing w:after="0" w:line="240" w:lineRule="auto"/>
        <w:rPr>
          <w:sz w:val="18"/>
          <w:szCs w:val="18"/>
          <w:lang w:val="en-US"/>
        </w:rPr>
      </w:pPr>
      <w:r w:rsidRPr="008931F7">
        <w:rPr>
          <w:sz w:val="18"/>
          <w:szCs w:val="18"/>
          <w:lang w:val="en-US"/>
        </w:rPr>
        <w:t>Legal documents which can fix forming and accepting tariffs for services</w:t>
      </w:r>
    </w:p>
    <w:p w:rsidR="002960F6" w:rsidRPr="008931F7" w:rsidRDefault="002960F6" w:rsidP="002960F6">
      <w:pPr>
        <w:pStyle w:val="CommentText"/>
        <w:numPr>
          <w:ilvl w:val="0"/>
          <w:numId w:val="1"/>
        </w:numPr>
        <w:spacing w:after="0" w:line="240" w:lineRule="auto"/>
        <w:rPr>
          <w:sz w:val="18"/>
          <w:szCs w:val="18"/>
        </w:rPr>
      </w:pPr>
      <w:r w:rsidRPr="008931F7">
        <w:rPr>
          <w:sz w:val="18"/>
          <w:szCs w:val="18"/>
        </w:rPr>
        <w:t xml:space="preserve">Mechanism </w:t>
      </w:r>
      <w:r w:rsidRPr="008931F7">
        <w:rPr>
          <w:sz w:val="18"/>
          <w:szCs w:val="18"/>
          <w:lang w:val="en-US"/>
        </w:rPr>
        <w:t xml:space="preserve">of recording citizens’ opinion – legal order of recording citizens’ opinion, which </w:t>
      </w:r>
      <w:proofErr w:type="gramStart"/>
      <w:r w:rsidRPr="008931F7">
        <w:rPr>
          <w:sz w:val="18"/>
          <w:szCs w:val="18"/>
          <w:lang w:val="en-US"/>
        </w:rPr>
        <w:t>include</w:t>
      </w:r>
      <w:proofErr w:type="gramEnd"/>
      <w:r w:rsidRPr="008931F7">
        <w:rPr>
          <w:sz w:val="18"/>
          <w:szCs w:val="18"/>
          <w:lang w:val="en-US"/>
        </w:rPr>
        <w:t xml:space="preserve"> order of forming local register of services and procedures of reacting for citizens’ complains. The PSI will support pilot municipalities in elaboration and adoption of mechanism of recording citizens’ opinion and the local legal acts on the service provision such as Local register of services (including standards). </w:t>
      </w:r>
    </w:p>
    <w:p w:rsidR="002960F6" w:rsidRPr="008931F7" w:rsidRDefault="002960F6" w:rsidP="002960F6">
      <w:pPr>
        <w:spacing w:after="0" w:line="240" w:lineRule="auto"/>
        <w:rPr>
          <w:sz w:val="18"/>
          <w:szCs w:val="18"/>
        </w:rPr>
      </w:pPr>
    </w:p>
  </w:footnote>
  <w:footnote w:id="2">
    <w:p w:rsidR="00434A0B" w:rsidRPr="00A24629" w:rsidRDefault="00434A0B">
      <w:pPr>
        <w:pStyle w:val="FootnoteText"/>
        <w:rPr>
          <w:rFonts w:ascii="Arial" w:eastAsia="Times New Roman" w:hAnsi="Arial" w:cs="Times New Roman"/>
          <w:sz w:val="18"/>
          <w:szCs w:val="18"/>
          <w:lang w:eastAsia="de-DE"/>
        </w:rPr>
      </w:pPr>
      <w:r>
        <w:rPr>
          <w:rStyle w:val="FootnoteReference"/>
        </w:rPr>
        <w:footnoteRef/>
      </w:r>
      <w:r>
        <w:t xml:space="preserve"> </w:t>
      </w:r>
      <w:r w:rsidRPr="00A24629">
        <w:rPr>
          <w:rFonts w:ascii="Arial" w:eastAsia="Times New Roman" w:hAnsi="Arial" w:cs="Times New Roman"/>
          <w:sz w:val="18"/>
          <w:szCs w:val="18"/>
          <w:lang w:eastAsia="de-DE"/>
        </w:rPr>
        <w:t>„Priority public services “are those services that citizens have defined as highest priority service for their respective municipality. These services may vary by municipalities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E65B3"/>
    <w:multiLevelType w:val="hybridMultilevel"/>
    <w:tmpl w:val="4D763C92"/>
    <w:lvl w:ilvl="0" w:tplc="DD884DE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E3185E"/>
    <w:multiLevelType w:val="hybridMultilevel"/>
    <w:tmpl w:val="242276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4942833"/>
    <w:multiLevelType w:val="hybridMultilevel"/>
    <w:tmpl w:val="DD5E04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0F6"/>
    <w:rsid w:val="002960F6"/>
    <w:rsid w:val="00434A0B"/>
    <w:rsid w:val="00455FF1"/>
    <w:rsid w:val="00474137"/>
    <w:rsid w:val="006452E0"/>
    <w:rsid w:val="00A24629"/>
    <w:rsid w:val="00A90C0B"/>
    <w:rsid w:val="00B44117"/>
    <w:rsid w:val="00EA2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960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0F6"/>
    <w:rPr>
      <w:sz w:val="20"/>
      <w:szCs w:val="20"/>
    </w:rPr>
  </w:style>
  <w:style w:type="paragraph" w:styleId="EndnoteText">
    <w:name w:val="endnote text"/>
    <w:basedOn w:val="Normal"/>
    <w:link w:val="EndnoteTextChar"/>
    <w:uiPriority w:val="99"/>
    <w:semiHidden/>
    <w:unhideWhenUsed/>
    <w:rsid w:val="002960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60F6"/>
    <w:rPr>
      <w:sz w:val="20"/>
      <w:szCs w:val="20"/>
    </w:rPr>
  </w:style>
  <w:style w:type="paragraph" w:styleId="CommentText">
    <w:name w:val="annotation text"/>
    <w:basedOn w:val="Normal"/>
    <w:link w:val="CommentTextChar"/>
    <w:rsid w:val="002960F6"/>
    <w:pPr>
      <w:spacing w:after="60" w:line="200" w:lineRule="atLeast"/>
    </w:pPr>
    <w:rPr>
      <w:rFonts w:ascii="Arial" w:eastAsia="Times New Roman" w:hAnsi="Arial" w:cs="Times New Roman"/>
      <w:sz w:val="20"/>
      <w:szCs w:val="20"/>
      <w:lang w:val="en-GB" w:eastAsia="de-DE"/>
    </w:rPr>
  </w:style>
  <w:style w:type="character" w:customStyle="1" w:styleId="CommentTextChar">
    <w:name w:val="Comment Text Char"/>
    <w:basedOn w:val="DefaultParagraphFont"/>
    <w:link w:val="CommentText"/>
    <w:rsid w:val="002960F6"/>
    <w:rPr>
      <w:rFonts w:ascii="Arial" w:eastAsia="Times New Roman" w:hAnsi="Arial" w:cs="Times New Roman"/>
      <w:sz w:val="20"/>
      <w:szCs w:val="20"/>
      <w:lang w:val="en-GB" w:eastAsia="de-DE"/>
    </w:rPr>
  </w:style>
  <w:style w:type="character" w:styleId="FootnoteReference">
    <w:name w:val="footnote reference"/>
    <w:aliases w:val="Footnote Text Char1,Footnote Text Char Char Char1,Char Char1,single space Char,fn Char,Footnote Char,12pt Char,ADB Char,FOOTNOTES Char,12pt Знак Знак Знак Знак Знак Char,12pt Знак Знак Знак Знак Char,ft Char,WB-Fußnotentext Char"/>
    <w:link w:val="BVIfnrCharCharCharCharCharCharCharCharCharCharCarCharCharCharCar"/>
    <w:uiPriority w:val="99"/>
    <w:rsid w:val="002960F6"/>
    <w:rPr>
      <w:rFonts w:cs="Times New Roman"/>
      <w:vertAlign w:val="superscript"/>
    </w:rPr>
  </w:style>
  <w:style w:type="paragraph" w:customStyle="1" w:styleId="BVIfnrCharCharCharCharCharCharCharCharCharCharCarCharCharCharCar">
    <w:name w:val="BVI fnr Char Char Char Char Char Знак Char Знак Char Знак Char Знак Char Знак Char Car Char Char Char Car"/>
    <w:aliases w:val="BVI fnr Char Char Char Char Char Знак Char Char Знак Знак Char Ch Car Char Char Char Char Char Char Car Car"/>
    <w:basedOn w:val="Normal"/>
    <w:link w:val="FootnoteReference"/>
    <w:uiPriority w:val="99"/>
    <w:rsid w:val="002960F6"/>
    <w:pPr>
      <w:spacing w:after="160" w:line="240" w:lineRule="exact"/>
    </w:pPr>
    <w:rPr>
      <w:rFonts w:cs="Times New Roman"/>
      <w:vertAlign w:val="superscript"/>
    </w:rPr>
  </w:style>
  <w:style w:type="character" w:styleId="EndnoteReference">
    <w:name w:val="endnote reference"/>
    <w:uiPriority w:val="99"/>
    <w:semiHidden/>
    <w:unhideWhenUsed/>
    <w:rsid w:val="002960F6"/>
    <w:rPr>
      <w:vertAlign w:val="superscript"/>
    </w:rPr>
  </w:style>
  <w:style w:type="paragraph" w:styleId="BalloonText">
    <w:name w:val="Balloon Text"/>
    <w:basedOn w:val="Normal"/>
    <w:link w:val="BalloonTextChar"/>
    <w:uiPriority w:val="99"/>
    <w:semiHidden/>
    <w:unhideWhenUsed/>
    <w:rsid w:val="00434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A0B"/>
    <w:rPr>
      <w:rFonts w:ascii="Tahoma" w:hAnsi="Tahoma" w:cs="Tahoma"/>
      <w:sz w:val="16"/>
      <w:szCs w:val="16"/>
    </w:rPr>
  </w:style>
  <w:style w:type="character" w:styleId="CommentReference">
    <w:name w:val="annotation reference"/>
    <w:basedOn w:val="DefaultParagraphFont"/>
    <w:uiPriority w:val="99"/>
    <w:semiHidden/>
    <w:unhideWhenUsed/>
    <w:rsid w:val="00434A0B"/>
    <w:rPr>
      <w:sz w:val="16"/>
      <w:szCs w:val="16"/>
    </w:rPr>
  </w:style>
  <w:style w:type="paragraph" w:styleId="CommentSubject">
    <w:name w:val="annotation subject"/>
    <w:basedOn w:val="CommentText"/>
    <w:next w:val="CommentText"/>
    <w:link w:val="CommentSubjectChar"/>
    <w:uiPriority w:val="99"/>
    <w:semiHidden/>
    <w:unhideWhenUsed/>
    <w:rsid w:val="00434A0B"/>
    <w:pPr>
      <w:spacing w:after="200" w:line="240" w:lineRule="auto"/>
    </w:pPr>
    <w:rPr>
      <w:rFonts w:asciiTheme="minorHAnsi" w:eastAsiaTheme="minorEastAsia" w:hAnsiTheme="minorHAnsi" w:cstheme="minorBidi"/>
      <w:b/>
      <w:bCs/>
      <w:lang w:val="en-US" w:eastAsia="zh-CN"/>
    </w:rPr>
  </w:style>
  <w:style w:type="character" w:customStyle="1" w:styleId="CommentSubjectChar">
    <w:name w:val="Comment Subject Char"/>
    <w:basedOn w:val="CommentTextChar"/>
    <w:link w:val="CommentSubject"/>
    <w:uiPriority w:val="99"/>
    <w:semiHidden/>
    <w:rsid w:val="00434A0B"/>
    <w:rPr>
      <w:rFonts w:ascii="Arial" w:eastAsia="Times New Roman" w:hAnsi="Arial" w:cs="Times New Roman"/>
      <w:b/>
      <w:bCs/>
      <w:sz w:val="20"/>
      <w:szCs w:val="20"/>
      <w:lang w:val="en-GB" w:eastAsia="de-DE"/>
    </w:rPr>
  </w:style>
  <w:style w:type="paragraph" w:styleId="Header">
    <w:name w:val="header"/>
    <w:basedOn w:val="Normal"/>
    <w:link w:val="HeaderChar"/>
    <w:uiPriority w:val="99"/>
    <w:unhideWhenUsed/>
    <w:rsid w:val="00434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A0B"/>
  </w:style>
  <w:style w:type="paragraph" w:styleId="Footer">
    <w:name w:val="footer"/>
    <w:basedOn w:val="Normal"/>
    <w:link w:val="FooterChar"/>
    <w:uiPriority w:val="99"/>
    <w:unhideWhenUsed/>
    <w:rsid w:val="00434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960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0F6"/>
    <w:rPr>
      <w:sz w:val="20"/>
      <w:szCs w:val="20"/>
    </w:rPr>
  </w:style>
  <w:style w:type="paragraph" w:styleId="EndnoteText">
    <w:name w:val="endnote text"/>
    <w:basedOn w:val="Normal"/>
    <w:link w:val="EndnoteTextChar"/>
    <w:uiPriority w:val="99"/>
    <w:semiHidden/>
    <w:unhideWhenUsed/>
    <w:rsid w:val="002960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60F6"/>
    <w:rPr>
      <w:sz w:val="20"/>
      <w:szCs w:val="20"/>
    </w:rPr>
  </w:style>
  <w:style w:type="paragraph" w:styleId="CommentText">
    <w:name w:val="annotation text"/>
    <w:basedOn w:val="Normal"/>
    <w:link w:val="CommentTextChar"/>
    <w:rsid w:val="002960F6"/>
    <w:pPr>
      <w:spacing w:after="60" w:line="200" w:lineRule="atLeast"/>
    </w:pPr>
    <w:rPr>
      <w:rFonts w:ascii="Arial" w:eastAsia="Times New Roman" w:hAnsi="Arial" w:cs="Times New Roman"/>
      <w:sz w:val="20"/>
      <w:szCs w:val="20"/>
      <w:lang w:val="en-GB" w:eastAsia="de-DE"/>
    </w:rPr>
  </w:style>
  <w:style w:type="character" w:customStyle="1" w:styleId="CommentTextChar">
    <w:name w:val="Comment Text Char"/>
    <w:basedOn w:val="DefaultParagraphFont"/>
    <w:link w:val="CommentText"/>
    <w:rsid w:val="002960F6"/>
    <w:rPr>
      <w:rFonts w:ascii="Arial" w:eastAsia="Times New Roman" w:hAnsi="Arial" w:cs="Times New Roman"/>
      <w:sz w:val="20"/>
      <w:szCs w:val="20"/>
      <w:lang w:val="en-GB" w:eastAsia="de-DE"/>
    </w:rPr>
  </w:style>
  <w:style w:type="character" w:styleId="FootnoteReference">
    <w:name w:val="footnote reference"/>
    <w:aliases w:val="Footnote Text Char1,Footnote Text Char Char Char1,Char Char1,single space Char,fn Char,Footnote Char,12pt Char,ADB Char,FOOTNOTES Char,12pt Знак Знак Знак Знак Знак Char,12pt Знак Знак Знак Знак Char,ft Char,WB-Fußnotentext Char"/>
    <w:link w:val="BVIfnrCharCharCharCharCharCharCharCharCharCharCarCharCharCharCar"/>
    <w:uiPriority w:val="99"/>
    <w:rsid w:val="002960F6"/>
    <w:rPr>
      <w:rFonts w:cs="Times New Roman"/>
      <w:vertAlign w:val="superscript"/>
    </w:rPr>
  </w:style>
  <w:style w:type="paragraph" w:customStyle="1" w:styleId="BVIfnrCharCharCharCharCharCharCharCharCharCharCarCharCharCharCar">
    <w:name w:val="BVI fnr Char Char Char Char Char Знак Char Знак Char Знак Char Знак Char Знак Char Car Char Char Char Car"/>
    <w:aliases w:val="BVI fnr Char Char Char Char Char Знак Char Char Знак Знак Char Ch Car Char Char Char Char Char Char Car Car"/>
    <w:basedOn w:val="Normal"/>
    <w:link w:val="FootnoteReference"/>
    <w:uiPriority w:val="99"/>
    <w:rsid w:val="002960F6"/>
    <w:pPr>
      <w:spacing w:after="160" w:line="240" w:lineRule="exact"/>
    </w:pPr>
    <w:rPr>
      <w:rFonts w:cs="Times New Roman"/>
      <w:vertAlign w:val="superscript"/>
    </w:rPr>
  </w:style>
  <w:style w:type="character" w:styleId="EndnoteReference">
    <w:name w:val="endnote reference"/>
    <w:uiPriority w:val="99"/>
    <w:semiHidden/>
    <w:unhideWhenUsed/>
    <w:rsid w:val="002960F6"/>
    <w:rPr>
      <w:vertAlign w:val="superscript"/>
    </w:rPr>
  </w:style>
  <w:style w:type="paragraph" w:styleId="BalloonText">
    <w:name w:val="Balloon Text"/>
    <w:basedOn w:val="Normal"/>
    <w:link w:val="BalloonTextChar"/>
    <w:uiPriority w:val="99"/>
    <w:semiHidden/>
    <w:unhideWhenUsed/>
    <w:rsid w:val="00434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A0B"/>
    <w:rPr>
      <w:rFonts w:ascii="Tahoma" w:hAnsi="Tahoma" w:cs="Tahoma"/>
      <w:sz w:val="16"/>
      <w:szCs w:val="16"/>
    </w:rPr>
  </w:style>
  <w:style w:type="character" w:styleId="CommentReference">
    <w:name w:val="annotation reference"/>
    <w:basedOn w:val="DefaultParagraphFont"/>
    <w:uiPriority w:val="99"/>
    <w:semiHidden/>
    <w:unhideWhenUsed/>
    <w:rsid w:val="00434A0B"/>
    <w:rPr>
      <w:sz w:val="16"/>
      <w:szCs w:val="16"/>
    </w:rPr>
  </w:style>
  <w:style w:type="paragraph" w:styleId="CommentSubject">
    <w:name w:val="annotation subject"/>
    <w:basedOn w:val="CommentText"/>
    <w:next w:val="CommentText"/>
    <w:link w:val="CommentSubjectChar"/>
    <w:uiPriority w:val="99"/>
    <w:semiHidden/>
    <w:unhideWhenUsed/>
    <w:rsid w:val="00434A0B"/>
    <w:pPr>
      <w:spacing w:after="200" w:line="240" w:lineRule="auto"/>
    </w:pPr>
    <w:rPr>
      <w:rFonts w:asciiTheme="minorHAnsi" w:eastAsiaTheme="minorEastAsia" w:hAnsiTheme="minorHAnsi" w:cstheme="minorBidi"/>
      <w:b/>
      <w:bCs/>
      <w:lang w:val="en-US" w:eastAsia="zh-CN"/>
    </w:rPr>
  </w:style>
  <w:style w:type="character" w:customStyle="1" w:styleId="CommentSubjectChar">
    <w:name w:val="Comment Subject Char"/>
    <w:basedOn w:val="CommentTextChar"/>
    <w:link w:val="CommentSubject"/>
    <w:uiPriority w:val="99"/>
    <w:semiHidden/>
    <w:rsid w:val="00434A0B"/>
    <w:rPr>
      <w:rFonts w:ascii="Arial" w:eastAsia="Times New Roman" w:hAnsi="Arial" w:cs="Times New Roman"/>
      <w:b/>
      <w:bCs/>
      <w:sz w:val="20"/>
      <w:szCs w:val="20"/>
      <w:lang w:val="en-GB" w:eastAsia="de-DE"/>
    </w:rPr>
  </w:style>
  <w:style w:type="paragraph" w:styleId="Header">
    <w:name w:val="header"/>
    <w:basedOn w:val="Normal"/>
    <w:link w:val="HeaderChar"/>
    <w:uiPriority w:val="99"/>
    <w:unhideWhenUsed/>
    <w:rsid w:val="00434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A0B"/>
  </w:style>
  <w:style w:type="paragraph" w:styleId="Footer">
    <w:name w:val="footer"/>
    <w:basedOn w:val="Normal"/>
    <w:link w:val="FooterChar"/>
    <w:uiPriority w:val="99"/>
    <w:unhideWhenUsed/>
    <w:rsid w:val="00434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E6123-C05B-4FCB-A3FD-8ABBABEFD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72F80FC.dotm</Template>
  <TotalTime>94</TotalTime>
  <Pages>7</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11784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Zakirova Elena EDA ZAE</dc:creator>
  <cp:lastModifiedBy>Zakirova Elena EDA ZAE</cp:lastModifiedBy>
  <cp:revision>9</cp:revision>
  <dcterms:created xsi:type="dcterms:W3CDTF">2017-04-03T03:57:00Z</dcterms:created>
  <dcterms:modified xsi:type="dcterms:W3CDTF">2017-04-19T11:30:00Z</dcterms:modified>
</cp:coreProperties>
</file>