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D7" w:rsidRPr="00380ED7" w:rsidRDefault="00380ED7" w:rsidP="00380ED7">
      <w:pPr>
        <w:spacing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cap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caps/>
          <w:sz w:val="24"/>
          <w:szCs w:val="24"/>
          <w:lang w:eastAsia="ru-RU"/>
        </w:rPr>
        <w:t>ПОСТАНОВЛЕНИЕ ПРАВИТЕЛЬСТВА КЫРГЫЗСКОЙ РЕСПУБЛИКИ</w:t>
      </w:r>
    </w:p>
    <w:p w:rsidR="00380ED7" w:rsidRPr="00380ED7" w:rsidRDefault="00380ED7" w:rsidP="00380ED7">
      <w:pPr>
        <w:spacing w:before="200" w:after="200" w:line="276" w:lineRule="auto"/>
        <w:jc w:val="center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bookmarkStart w:id="0" w:name="_GoBack"/>
      <w:proofErr w:type="spellStart"/>
      <w:r w:rsidRPr="00380ED7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г.Бишкек</w:t>
      </w:r>
      <w:proofErr w:type="spellEnd"/>
      <w:r w:rsidRPr="00380ED7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, от 5 сентября 2019 года № 452</w:t>
      </w:r>
    </w:p>
    <w:p w:rsidR="00380ED7" w:rsidRPr="00380ED7" w:rsidRDefault="00380ED7" w:rsidP="00380ED7">
      <w:pPr>
        <w:spacing w:before="400" w:after="4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утверждении Методики оценки муниципального индекса бюджетной прозрачности</w:t>
      </w:r>
    </w:p>
    <w:bookmarkEnd w:id="0"/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В целях реализации реформ местного самоуправления и финансовой децентрализации в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Республике, совершенствования системы управления государственными финансами, в соответствии со </w:t>
      </w:r>
      <w:hyperlink r:id="rId4" w:anchor="st_129" w:history="1">
        <w:r w:rsidRPr="00380ED7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статьей 129</w:t>
        </w:r>
      </w:hyperlink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Бюджетного кодекса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Республики, статьями </w:t>
      </w:r>
      <w:hyperlink r:id="rId5" w:anchor="st_10" w:history="1">
        <w:r w:rsidRPr="00380ED7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10</w:t>
        </w:r>
      </w:hyperlink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r:id="rId6" w:anchor="st_17" w:history="1">
        <w:r w:rsidRPr="00380ED7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17</w:t>
        </w:r>
      </w:hyperlink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конституционного Закона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"О Правительстве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Республики" Правительство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постановляет: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1. Утвердить </w:t>
      </w:r>
      <w:hyperlink r:id="rId7" w:history="1">
        <w:r w:rsidRPr="00380ED7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Методику</w:t>
        </w:r>
      </w:hyperlink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оценки муниципального индекса бюджетной прозрачности согласно приложению.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2. Настоящее постановление вступает в силу по истечении десяти дней со дня официального опубликования.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Опубликован в газете "</w:t>
      </w:r>
      <w:proofErr w:type="spellStart"/>
      <w:r w:rsidRPr="00380ED7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380ED7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380ED7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380ED7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" от 12 ноября 2019 года N 94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80ED7" w:rsidRPr="00380ED7" w:rsidTr="00380ED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Премьер-министр </w:t>
            </w:r>
            <w:proofErr w:type="spellStart"/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М.Абылгазиев</w:t>
            </w:r>
            <w:proofErr w:type="spellEnd"/>
          </w:p>
        </w:tc>
      </w:tr>
    </w:tbl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380ED7" w:rsidRPr="00380ED7" w:rsidRDefault="00380ED7" w:rsidP="00380ED7">
      <w:pPr>
        <w:spacing w:after="200" w:line="276" w:lineRule="auto"/>
        <w:rPr>
          <w:rFonts w:ascii="Calibri" w:eastAsiaTheme="minorEastAsia" w:hAnsi="Calibri" w:cs="Times New Roman"/>
          <w:b/>
          <w:bCs/>
          <w:i/>
          <w:iCs/>
          <w:lang w:eastAsia="ru-RU"/>
        </w:rPr>
      </w:pPr>
    </w:p>
    <w:p w:rsidR="00380ED7" w:rsidRPr="00380ED7" w:rsidRDefault="00380ED7" w:rsidP="00380ED7">
      <w:pPr>
        <w:spacing w:after="200" w:line="276" w:lineRule="auto"/>
        <w:rPr>
          <w:rFonts w:ascii="Calibri" w:eastAsiaTheme="minorEastAsia" w:hAnsi="Calibri" w:cs="Times New Roman"/>
          <w:b/>
          <w:bCs/>
          <w:i/>
          <w:iCs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80ED7" w:rsidRPr="00380ED7" w:rsidTr="00380ED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  <w:tr w:rsidR="00380ED7" w:rsidRPr="00380ED7" w:rsidTr="00380ED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(к </w:t>
            </w:r>
            <w:hyperlink r:id="rId8" w:history="1">
              <w:r w:rsidRPr="00380ED7">
                <w:rPr>
                  <w:rFonts w:ascii="Arial" w:eastAsiaTheme="minorEastAsia" w:hAnsi="Arial" w:cs="Arial"/>
                  <w:i/>
                  <w:iCs/>
                  <w:color w:val="000000"/>
                  <w:sz w:val="20"/>
                  <w:szCs w:val="20"/>
                  <w:lang w:eastAsia="ru-RU"/>
                </w:rPr>
                <w:t>постановлению</w:t>
              </w:r>
            </w:hyperlink>
            <w:r w:rsidRPr="00380ED7"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380ED7"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380ED7"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Республики</w:t>
            </w:r>
            <w:r w:rsidRPr="00380ED7">
              <w:rPr>
                <w:rFonts w:ascii="Arial" w:eastAsiaTheme="minorEastAsia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br/>
              <w:t>от 5 сентября 2019 года № 452)</w:t>
            </w:r>
          </w:p>
        </w:tc>
      </w:tr>
    </w:tbl>
    <w:p w:rsidR="00380ED7" w:rsidRPr="00380ED7" w:rsidRDefault="00380ED7" w:rsidP="00380ED7">
      <w:pPr>
        <w:spacing w:before="400" w:after="4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МЕТОДИКА</w:t>
      </w: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оценки муниципального индекса бюджетной прозрачности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1. Настоящая Методика устанавливает систему показателей, характеризующих бюджетную прозрачность на уровне местного самоуправления.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2. При оценке индикаторов бюджетной прозрачности используются данные отчетности об исполнении местного бюджета, статистической отчетности, аудиторский отчет Счетной палаты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(далее - Счетная палата), программы социально-экономического развития.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3. Оценка бюджетной прозрачности производится по балльной системе и рассчитывается по формуле, определенной согласно настоящей Методике.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4. При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непредоставлении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исходных данных для определения значения какого-либо из показателей бюджетной прозрачности орган местного самоуправления (далее - МСУ) получает 0 баллов.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5. Оценка бюджетной прозрачности определяется суммой оценок по всем показателям по соответствующим группам показателей по следующей формуле:</w:t>
      </w:r>
    </w:p>
    <w:p w:rsidR="00380ED7" w:rsidRPr="00380ED7" w:rsidRDefault="00380ED7" w:rsidP="00380ED7">
      <w:pPr>
        <w:spacing w:after="60" w:line="276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380ED7" w:rsidRPr="00380ED7" w:rsidRDefault="00380ED7" w:rsidP="00380ED7">
      <w:pPr>
        <w:spacing w:after="60" w:line="276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ИБП = SUM (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Gj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*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SWj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),</w:t>
      </w:r>
    </w:p>
    <w:p w:rsidR="00380ED7" w:rsidRPr="00380ED7" w:rsidRDefault="00380ED7" w:rsidP="00380ED7">
      <w:pPr>
        <w:spacing w:after="60" w:line="276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где: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ИБП - итоговая оценка бюджетной прозрачности местного бюджета;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Gj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- оценка по j-й группе показателей;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SWj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- коэффициент по j-й группе показателей, значения которого определены в таблице 1 главы 6.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2. Показатели состава и наглядности бюджетной информации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6. Показатели состава и наглядности бюджетной информации оценивают наличие и соответствие бюджетных документов и информации по определенной структуре и форме определения информации. В их состав включаются: местный бюджет, гражданский бюджет органа МСУ, годовой отчет по исполнению местного бюджета, показывающий фактическое поступление доходов и исполнение плана расходов в разрезе основных расходов, аудиторский отчет Счетной палаты и программа социально-экономического развития.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§ 1. Показатель К1 "Утвержденный местный бюджет с использованием </w:t>
      </w:r>
      <w:proofErr w:type="spellStart"/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7. Опубликование утвержденных бюджетов и отчетов об их исполнении соответствует принципу прозрачности (открытости) бюджетной системы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Республики. Исполнение данного показателя характеризует повышение качества и прозрачность бюджетного процесса.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8. Данный показатель отражает, насколько доступно проведены процедуры по формированию бюджетных доходов и расходов, соответствует ли бюджет утвержденной функциональной и экономической классификации и использована ли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инфографика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§ 2. Показатель К2 "Гражданский бюджет органа МСУ"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9. Гражданский бюджет предоставляет гражданам информацию о решениях, параметрах и приоритетах местного бюджета на соответствующий бюджетный период в простой и доступной для их понимания форме. Гражданский бюджет составляется на основе официальных бюджетных документов.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10. Данный показатель отражает наличие документа, который должен включать: доходы и расходы местного бюджета за 1 год, с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§ 3. Показатель К3 "Годовой отчет об исполнении местного бюджета, с использованием </w:t>
      </w:r>
      <w:proofErr w:type="spellStart"/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11. Годовой отчет об исполнении местного бюджета отражает отчет об исполнении местного бюджета за прошедший год, утвержденный постановлением местного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кенеша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. Данный показатель отслеживает наличие отчета об исполнении местного бюджета за прошедший год, с использованием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§ 4. Показатель К4 "Аудиторский отчет Счетной палаты"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12. Аудиторский отчет Счетной палаты, составляемый Счетной палатой по результатам аудита местного бюджета. Он может включать информацию о нарушениях, допущенных органами МСУ в ходе бюджетного процесса.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13. Данный показатель отражает полноту и доступность информации по отчету Счетной палаты, с приложением отдельно сгруппированных предписаний и рекомендаций в адрес органа МСУ.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14. В случае объективной причины отсутствия документа или информации (например, показатель К4 "Аудиторский отчет Счетной палаты" в органе МСУ отсутствует, так как в текущем году местный бюджет данного органа МСУ не вошел в план аудита), критерий считается выполненным и присуждается 10 баллов. В случае отказа предоставления документа (информации) органами МСУ, выставляется 0 баллов.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§ 5. Показатель K5 "Программа социально-экономического развития (или другой стратегический документ)"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15. Программа социально-экономического развития - документ, содержащий цели, задачи и мероприятия социально-экономического развития городов и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айылных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аймаков, определяющий основные направления и приоритеты фискальной политики на предстоящий период.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16. Данный показатель отражает насколько в доступной для граждан форме (с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) показаны направления программы (изменения программы в случае их принятия), источники финансирования и ожидаемые результаты.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3. Показатели прозрачности бюджетного процесса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17. Показатели прозрачности бюджетного процесса оценивают доступность бюджетной информации для граждан: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наличие информационной доски, посредством которой реализуется принцип прозрачности бюджета (К6);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наличие официального интернет-портала (сайта) (К7);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размещение документов (информации) на доске (сайте) (К8);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обратная связь по основным вопросам бюджетных слушаний и размещение информации на доске (сайте) (К9);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использование электронной почты для связи с сообществом (К10).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18. При проверке наличия официального интернет-портала (сайта) органа МСУ и размещения на нем информации учитывается опубликование информации на официальном сайте самого органа МСУ или местной государственной администрации, или полномочного представителя Правительства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в соответствующей области, или уполномоченного государственного органа по делам местного самоуправления.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19. Данные показатели применяются для расчета коэффициента доступности, применяемого к сводному показателю состава и наглядности бюджетной информации.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4. Показатели участия граждан в бюджетном процессе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20. Показатели участия граждан в бюджетном процессе отражают уровень участия граждан в бюджетном процессе, при этом оценка проводится по следующим критериям: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используются ли на постоянной основе общественные слушания по проекту местного бюджета (показатель К11 "Общественные слушания");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имеются ли другие формы взаимодействия органов МСУ и граждан, отличающиеся от общественных слушаний, но предусматривающие обсуждение и обратную связь (показатель К12 "Взаимодействие органов местного самоуправления и граждан");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проводится ли учет приоритетов местного сообщества в программе социально-экономического развития органа МСУ (показатель К13 "Приоритеты местного сообщества в программе социально-экономического развития");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- созданы ли и осуществляют ли деятельность на регулярной основе инициативные группы, с участием общественных организаций и заинтересованных граждан, по выработке приоритетов и рассмотрению наиболее важных вопросов бюджетной политики (показатель К14 "Наличие и деятельность на регулярной основе инициативных групп по выработке приоритетов бюджетной политики");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принимаются ли во внимание органами МСУ при разработке проекта местного бюджета предложения общественности, сделанные в ходе бюджетных слушаний (показатель К15 "Предложения общественности, сделанные в ходе бюджетных слушаний").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5. Управление проведением оценки во времени (календарь)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21. Оценка индекса проводится регулярно: не реже чем 1 раз в квартал. Баллы выставляются поэтапно, в конце года подсчитывается итоговый балл. Большинство индикаторов оценивается один раз в год, за исключением следующих индикаторов оценки: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использование других форм взаимодействия органов МСУ и граждан (помимо общественных слушаний), предусматривающих обсуждение и обратную связь (2 раза в год: во II и IV кварталах);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регулярная деятельность инициативных групп с участием общественных организаций и заинтересованных граждан по выработке приоритетов и рассмотрению наиболее важных вопросов бюджетной политики (2 раза в год: во II и IV кварталах);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утвержденный местный бюджет (в случае если внесены изменения в утвержденный местный бюджет, оценивается уточненный местный бюджет);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индикатор "Размещение документов (информации), относящихся к показателям состава и наглядности бюджетных документов, и информации на доске (сайте)" оценивается ежеквартально.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6. Значения и порядок расчета показателей оценки бюджетной прозрачности местного бюджета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22. Оценка бюджетной прозрачности местного бюджета осуществляется согласно таблице 1.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380ED7" w:rsidRPr="00380ED7" w:rsidRDefault="00380ED7" w:rsidP="00380ED7">
      <w:pPr>
        <w:spacing w:after="60" w:line="276" w:lineRule="auto"/>
        <w:ind w:firstLine="56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18"/>
        <w:gridCol w:w="2797"/>
        <w:gridCol w:w="1562"/>
        <w:gridCol w:w="958"/>
        <w:gridCol w:w="1645"/>
      </w:tblGrid>
      <w:tr w:rsidR="00380ED7" w:rsidRPr="00380ED7" w:rsidTr="00380ED7"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Расчет индикатора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Нормативное значение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380ED7" w:rsidRPr="00380ED7" w:rsidTr="00380ED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Показатели оценки бюджетной прозрачности местного бюджета</w:t>
            </w:r>
          </w:p>
        </w:tc>
      </w:tr>
      <w:tr w:rsidR="00380ED7" w:rsidRPr="00380ED7" w:rsidTr="00380ED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Показатели состава и наглядности бюджетной информации</w:t>
            </w: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Утвержденный местный бюджет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К1 = 10,0 в случае если доходы и расходы местного бюджета (в разрезе функциональной и экономической классификаций) на будущий период подготовлены с использованием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 противном случае К1 =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 или 1 балл, или 0 баллов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суммы показателей данной группы (К1, К2, К3, К4 и К5) применяется коэффициент К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д</w:t>
            </w: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Гражданский бюджет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К2 = 10,0 в случае если документ включает доходы и расходы местного бюджета за 1 год, с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инфографикой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 противном случае К2 =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10,0 баллов или 1 </w:t>
            </w:r>
            <w:proofErr w:type="gram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балл ,</w:t>
            </w:r>
            <w:proofErr w:type="gram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Отчет об исполнении местного бюджета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К3 = 10,0 в случае если документ включает доходы и расходы местного бюджета за 1 год, с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инфографикой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 противном случае К3 =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 или 1 балл,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Аудиторский отчет Счетной палаты (за последний проверенный год)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К4 = 10,0 в случае если отражена полная информация по отчету Счетной палаты КР с приложением отдельно сгруппированных предписаний и рекомендаций в адрес ОМСУ (в случае их наличия), в противном случае К4 =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 или 1 балл,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Программа социально-экономического развития (или другой стратегический документ)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К5 = 10,0 в случае если в доступной для граждан форме (с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инфографикой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показаны направления программы (изменения программы в случае их принятия), источники финансирования и ожидаемые результаты, в противном случае К5 =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 или 1 балл,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Коэффициент доступности бюджетной информации для населения (К</w:t>
            </w: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д</w:t>
            </w: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К6-К10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Коэффициент доступности бюджетной информации для населения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д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= (ИД + ИП + Т1 + БС + ЭП)/100, где: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ИД = 15 в случае если имеется информационная доска, посредством которой реализуется принцип прозрачности бюджета, в противном случае ИД = 0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ИП = 15 в случае если имеется официальный интернет-портал (сайт), в противном случае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ИП = 0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 xml:space="preserve">Т1 = 40 в случае если на доске (сайте) размещены не менее чем по 4 показателям состава и наглядности бюджетной информации, в случае если размещалась информация не менее чем по 2 показателям, Т1 = 20, 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 остальных случаях - Т1 = 0.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БС = 20 в случае если по основным вопросам бюджетных слушаний формируются "ответные" материалы и размещаются на доске (сайте), в других случаях БС = 0.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ЭП = 10 в случае если использовалась электронная почта для связи с сообществом, в противном случае ЭП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= 40,0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Больше 4 - 40 баллов, больше 2 - 20 баллов, меньше 2 - 0 баллов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80ED7" w:rsidRPr="00380ED7" w:rsidTr="00380ED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Показатели участия граждан в бюджетном процессе</w:t>
            </w: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Общественные слушания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К11 = КП + Ф, </w:t>
            </w:r>
            <w:proofErr w:type="gram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где: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КП</w:t>
            </w:r>
            <w:proofErr w:type="gram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= 5,0 в случае если имеется наличие протокола (копия) общественного слушания, в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внесенные предложения и решения, принятые по нему, в противном случае КП = 0;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Ф = 5,0 в случае если имеется фотография на доске или распечатка с сайта, в противном случае Ф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баллов, 5 баллов или 0 баллов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суммы показателей данной группы (К11, К12, К13, К14 и К15 применяется коэффициент, равный 1)</w:t>
            </w: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взаимодействия органов МСУ и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К12 = 5,0 в случае если имеется протокол (копия протокола) мероприятия, в </w:t>
            </w:r>
            <w:proofErr w:type="spell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внесенные предложения и решения, принятые по нему, в противном случае К12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5,0 баллов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Приоритеты местного сообщества в программе социально- экономического развития (бюджете)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К13 = КПСЭР + ПМС, </w:t>
            </w:r>
            <w:proofErr w:type="gram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где: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КПСЭР</w:t>
            </w:r>
            <w:proofErr w:type="gram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= 5,0 в случае если в программе социально-экономического развития органа местного самоуправления выделены приоритеты, в противном случае КПСЭР = 0;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ПМС = 0,50 в случае если проводится учет приоритетов местного сообщества в местном бюджете, в противном случае ПМС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 баллов, 5 баллов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Наличие и деятельность на регулярной 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основе инициативных групп по выработке приоритетов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К14 = ИГ +ППМ, </w:t>
            </w:r>
            <w:proofErr w:type="gramStart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где: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ИГ</w:t>
            </w:r>
            <w:proofErr w:type="gramEnd"/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= 5,0, если имеются инициативные группы с 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участием общественных организаций и заинтересованных граждан по выработке приоритетов и рассмотрению наиболее важных вопросов бюджетной политики, в противном случае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ИГ = 0;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ППМ = 5,0 в случае если имеются протоколы проведения мероприятий (не менее одного раза в полугодие), в противном случае ППМ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= 10,0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10,0 баллов, 5 </w:t>
            </w: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баллов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Предложения общественности, сделанные в ходе бюджетных слушаний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К15 = 15,0 в случае, если имеется копия отчета органа МСУ о внесенных предложениях в ходе общественных слушаний и решениях, принятых по ним, в противном случае К15 = 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 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15,0 баллов или 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80ED7" w:rsidRPr="00380ED7" w:rsidRDefault="00380ED7" w:rsidP="00380ED7">
      <w:pPr>
        <w:spacing w:before="120"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23. В процессе оценки выставляется объективная отметка и представляются соответствующие документы, ссылки, подтверждающие ее выставление. В качестве верификации по каждому критерию должно быть не менее одного подтверждающего документа.</w:t>
      </w:r>
    </w:p>
    <w:p w:rsidR="00380ED7" w:rsidRPr="00380ED7" w:rsidRDefault="00380ED7" w:rsidP="00380ED7">
      <w:pPr>
        <w:spacing w:before="200" w:after="200" w:line="276" w:lineRule="auto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7. Применение результатов оценки показателей бюджетной прозрачности органов МСУ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24. По результатам оценки, в зависимости от набранных баллов, органы МСУ распределяются по трем группам: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1) высокий индекс - суммарное количество баллов более 60: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а) участие граждан в бюджетном процессе на высоком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активно участвуют в бюджетном процессе;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учет приоритетов местного сообщества;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б) показатели состава и наглядности бюджетной информации на высоком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- большой объем информации по бюджету с использованием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качественный гражданский бюджет;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качественное и своевременное исполнение местного бюджета по доходам и расходам;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высокоэффективное управление финансами;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программа социально-экономического развития (или другой стратегический документ) доступна и качественно представлена для граждан;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в) показатели прозрачности бюджетного процесса обеспечиваются на высоком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высокая доступность бюджетной информации для населения;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активно поддерживают связь с органами МСУ в бюджетном процессе;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2) средний индекс - суммарное количество баллов больше 20, но меньше 60 баллов: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а) участие граждан в бюджетном процессе на удовлетворительном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участвуют в бюджетном процессе;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приоритеты местного сообщества выявляются;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б) показатели состава и наглядности бюджетной информации на среднем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- средний объем информации по бюджету с использованием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гражданский бюджет на среднем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исполнение бюджета по доходам и расходам на среднем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управление финансами на среднем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программа социально-экономического развития (или другой стратегический документ) представлена для граждан;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в) показатели прозрачности бюджетного процесса обеспечиваются на среднем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средняя доступность бюджетной информации для населения;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более или менее участвуют в бюджетном процессе;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3) низкий индекс - суммарное количество баллов менее 20 баллов: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а) участие граждан в бюджетном процессе на неудовлетворительном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не вовлекаются в бюджетный процесс;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приоритеты местного сообщества не выявляются;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б) показатели состава и наглядности бюджетной информации на неудовлетворительном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 xml:space="preserve">- низкий объем информации по бюджету с использованием </w:t>
      </w:r>
      <w:proofErr w:type="spellStart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инфографики</w:t>
      </w:r>
      <w:proofErr w:type="spellEnd"/>
      <w:r w:rsidRPr="00380ED7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гражданский бюджет на низком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исполнение местного бюджета по доходам и расходам на низком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управление финансами на низком уровне;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наличие определенных финансовых нарушений;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программа социально-экономического развития (или другой стратегический документ) не представлена должным образом для граждан;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в) показатели прозрачности бюджетного процесса обеспечиваются на неудовлетворительном уровне: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информация не предоставляется или предоставляется крайне скудная информация; средняя доступность бюджетной информации для населения;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- граждане не вовлечены в бюджетный процесс.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25. Наивысший общий балл, который по итогам оценки может получить орган МСУ, составляет 100 баллов.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26. Итоги оценки бюджетной прозрачности органов МСУ выводятся согласно фактическим значениям показателей, оценкам, полученным по каждому из показателей, итоговым оценкам в целом по органам МСУ и отнесению к определенной группе в форме согласно таблице 2.</w:t>
      </w:r>
    </w:p>
    <w:p w:rsidR="00380ED7" w:rsidRPr="00380ED7" w:rsidRDefault="00380ED7" w:rsidP="00380ED7">
      <w:pPr>
        <w:spacing w:after="60" w:line="276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380ED7" w:rsidRPr="00380ED7" w:rsidRDefault="00380ED7" w:rsidP="00380ED7">
      <w:pPr>
        <w:spacing w:after="60" w:line="276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Таблица результатов оценки показателей бюджетной прозрачности органа МСУ</w:t>
      </w:r>
    </w:p>
    <w:p w:rsidR="00380ED7" w:rsidRPr="00380ED7" w:rsidRDefault="00380ED7" w:rsidP="00380ED7">
      <w:pPr>
        <w:spacing w:after="60" w:line="276" w:lineRule="auto"/>
        <w:ind w:firstLine="567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Таблица 2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106"/>
        <w:gridCol w:w="1049"/>
        <w:gridCol w:w="1105"/>
        <w:gridCol w:w="1048"/>
        <w:gridCol w:w="1105"/>
        <w:gridCol w:w="1048"/>
        <w:gridCol w:w="858"/>
        <w:gridCol w:w="774"/>
      </w:tblGrid>
      <w:tr w:rsidR="00380ED7" w:rsidRPr="00380ED7" w:rsidTr="00380ED7"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</w:tr>
      <w:tr w:rsidR="00380ED7" w:rsidRPr="00380ED7" w:rsidTr="00380E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Возможный балл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Возможный балл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Возможный балл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ED7" w:rsidRPr="00380ED7" w:rsidRDefault="00380ED7" w:rsidP="00380ED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80ED7" w:rsidRPr="00380ED7" w:rsidTr="00380ED7"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МСУ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Высокий</w:t>
            </w:r>
          </w:p>
        </w:tc>
      </w:tr>
      <w:tr w:rsidR="00380ED7" w:rsidRPr="00380ED7" w:rsidTr="00380ED7"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МСУ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Низкий</w:t>
            </w:r>
          </w:p>
        </w:tc>
      </w:tr>
      <w:tr w:rsidR="00380ED7" w:rsidRPr="00380ED7" w:rsidTr="00380ED7"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D7" w:rsidRPr="00380ED7" w:rsidRDefault="00380ED7" w:rsidP="00380ED7">
            <w:pPr>
              <w:spacing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80ED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…</w:t>
            </w:r>
          </w:p>
        </w:tc>
      </w:tr>
    </w:tbl>
    <w:p w:rsidR="00380ED7" w:rsidRPr="00380ED7" w:rsidRDefault="00380ED7" w:rsidP="00380ED7">
      <w:pPr>
        <w:spacing w:before="120"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27. Результаты общественной оценки муниципального индекса бюджетной прозрачности принимаются во внимание исполнительными органами МСУ для обеспечения роста прозрачности местных бюджетов. Органы МСУ размещают результаты индекса и планы по обеспечению его роста на общественных бюджетных слушаниях и других публичных мероприятиях.</w:t>
      </w:r>
    </w:p>
    <w:p w:rsidR="00380ED7" w:rsidRPr="00380ED7" w:rsidRDefault="00380ED7" w:rsidP="00380ED7">
      <w:pPr>
        <w:spacing w:after="60" w:line="276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80ED7">
        <w:rPr>
          <w:rFonts w:ascii="Arial" w:eastAsiaTheme="minorEastAsia" w:hAnsi="Arial" w:cs="Arial"/>
          <w:sz w:val="20"/>
          <w:szCs w:val="20"/>
          <w:lang w:eastAsia="ru-RU"/>
        </w:rPr>
        <w:t>28. Результаты оценки бюджетной прозрачности органов МСУ размещаются на официальном интернет-сайте органа МСУ и могут быть использованы при определении общего рейтинга органа МСУ по республике</w:t>
      </w:r>
    </w:p>
    <w:p w:rsidR="00177FA9" w:rsidRDefault="00177FA9"/>
    <w:sectPr w:rsidR="001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D7"/>
    <w:rsid w:val="00177FA9"/>
    <w:rsid w:val="003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C99D-83D9-4F75-BD2F-CB7D678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ED7"/>
    <w:rPr>
      <w:strike w:val="0"/>
      <w:dstrike w:val="0"/>
      <w:color w:val="000000"/>
      <w:u w:val="none"/>
      <w:effect w:val="none"/>
    </w:rPr>
  </w:style>
  <w:style w:type="paragraph" w:customStyle="1" w:styleId="tkGrif">
    <w:name w:val="_Гриф (tkGrif)"/>
    <w:basedOn w:val="a"/>
    <w:rsid w:val="00380ED7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380ED7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380ED7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380ED7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80ED7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380ED7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80ED7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80ED7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80ED7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380ED7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Nurgul\AppData\Local\Microsoft\Windows\INetCache\Content.Outlook\5LAHWJMZ\&#1055;&#1086;&#1089;&#1090;_&#1052;&#1077;&#1090;&#1086;_&#1052;&#1048;&#1041;&#1055;_&#1088;&#1091;&#1089;.mht!toktom://db/157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html:file://C:\Users\Nurgul\AppData\Local\Microsoft\Windows\INetCache\Content.Outlook\5LAHWJMZ\&#1055;&#1086;&#1089;&#1090;_&#1052;&#1077;&#1090;&#1086;_&#1052;&#1048;&#1041;&#1055;_&#1088;&#1091;&#1089;.mht!toktom://db/157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html:file://C:\Users\Nurgul\AppData\Local\Microsoft\Windows\INetCache\Content.Outlook\5LAHWJMZ\&#1055;&#1086;&#1089;&#1090;_&#1052;&#1077;&#1090;&#1086;_&#1052;&#1048;&#1041;&#1055;_&#1088;&#1091;&#1089;.mht!toktom://db/113385" TargetMode="External"/><Relationship Id="rId5" Type="http://schemas.openxmlformats.org/officeDocument/2006/relationships/hyperlink" Target="mhtml:file://C:\Users\Nurgul\AppData\Local\Microsoft\Windows\INetCache\Content.Outlook\5LAHWJMZ\&#1055;&#1086;&#1089;&#1090;_&#1052;&#1077;&#1090;&#1086;_&#1052;&#1048;&#1041;&#1055;_&#1088;&#1091;&#1089;.mht!toktom://db/113385" TargetMode="External"/><Relationship Id="rId10" Type="http://schemas.openxmlformats.org/officeDocument/2006/relationships/theme" Target="theme/theme1.xml"/><Relationship Id="rId4" Type="http://schemas.openxmlformats.org/officeDocument/2006/relationships/hyperlink" Target="mhtml:file://C:\Users\Nurgul\AppData\Local\Microsoft\Windows\INetCache\Content.Outlook\5LAHWJMZ\&#1055;&#1086;&#1089;&#1090;_&#1052;&#1077;&#1090;&#1086;_&#1052;&#1048;&#1041;&#1055;_&#1088;&#1091;&#1089;.mht!toktom://db/1359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Jamankulova</dc:creator>
  <cp:keywords/>
  <dc:description/>
  <cp:lastModifiedBy>Nurgul Jamankulova</cp:lastModifiedBy>
  <cp:revision>1</cp:revision>
  <dcterms:created xsi:type="dcterms:W3CDTF">2020-05-29T14:06:00Z</dcterms:created>
  <dcterms:modified xsi:type="dcterms:W3CDTF">2020-05-29T14:09:00Z</dcterms:modified>
</cp:coreProperties>
</file>