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E8" w:rsidRDefault="004C6FE8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72780B">
        <w:rPr>
          <w:lang w:val="ru-RU"/>
        </w:rPr>
        <w:t>«__»_________</w:t>
      </w:r>
      <w:r w:rsidR="004231ED">
        <w:rPr>
          <w:lang w:val="ru-RU"/>
        </w:rPr>
        <w:t>2017</w:t>
      </w:r>
      <w:r w:rsidR="005F0652">
        <w:rPr>
          <w:lang w:val="ru-RU"/>
        </w:rPr>
        <w:t xml:space="preserve">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4231ED" w:rsidRPr="001B5666" w:rsidRDefault="000207CF" w:rsidP="004231E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CA0176">
        <w:rPr>
          <w:spacing w:val="-3"/>
          <w:lang w:val="ru-RU"/>
        </w:rPr>
        <w:t>оборудования для детской игровой площадки</w:t>
      </w:r>
      <w:r w:rsidR="00E93B48" w:rsidRPr="001B5666">
        <w:rPr>
          <w:spacing w:val="-3"/>
          <w:lang w:val="ru-RU"/>
        </w:rPr>
        <w:t xml:space="preserve"> </w:t>
      </w:r>
      <w:r w:rsidR="001D35F9" w:rsidRPr="00CA0176">
        <w:rPr>
          <w:spacing w:val="-3"/>
          <w:lang w:val="ru-RU"/>
        </w:rPr>
        <w:t>№201</w:t>
      </w:r>
      <w:r w:rsidR="00CA0176" w:rsidRPr="00CA0176">
        <w:rPr>
          <w:spacing w:val="-3"/>
          <w:lang w:val="ru-RU"/>
        </w:rPr>
        <w:t>7</w:t>
      </w:r>
      <w:r w:rsidR="00F92141" w:rsidRPr="00CA0176">
        <w:rPr>
          <w:spacing w:val="-3"/>
          <w:lang w:val="ru-RU"/>
        </w:rPr>
        <w:t>-</w:t>
      </w:r>
      <w:r w:rsidR="00F92141" w:rsidRPr="00CA0176">
        <w:rPr>
          <w:spacing w:val="-3"/>
        </w:rPr>
        <w:t>G</w:t>
      </w:r>
      <w:r w:rsidR="00F92141" w:rsidRPr="00CA0176">
        <w:rPr>
          <w:spacing w:val="-3"/>
          <w:lang w:val="ru-RU"/>
        </w:rPr>
        <w:t>-</w:t>
      </w:r>
      <w:r w:rsidR="00CA0176" w:rsidRPr="00CA0176">
        <w:rPr>
          <w:spacing w:val="-3"/>
          <w:lang w:val="ru-RU"/>
        </w:rPr>
        <w:t>1/4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Фамилия и должность подписавшего:___________________________________________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 w:rsidRPr="00CA0176">
        <w:rPr>
          <w:b/>
          <w:bCs/>
          <w:lang w:val="ru-RU"/>
        </w:rPr>
        <w:t>201</w:t>
      </w:r>
      <w:r w:rsidR="00CA0176" w:rsidRPr="00CA0176">
        <w:rPr>
          <w:b/>
          <w:bCs/>
          <w:lang w:val="ru-RU"/>
        </w:rPr>
        <w:t>7</w:t>
      </w:r>
      <w:r w:rsidR="00F92141" w:rsidRPr="00CA0176">
        <w:rPr>
          <w:b/>
          <w:bCs/>
        </w:rPr>
        <w:t>-G-</w:t>
      </w:r>
      <w:r w:rsidR="00CA0176">
        <w:rPr>
          <w:b/>
          <w:bCs/>
          <w:lang w:val="ru-RU"/>
        </w:rPr>
        <w:t>1/4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>в т.ч. все налоги, НДС, таможенные пошлины, сборы, стоимость внутренней транспортировки</w:t>
            </w:r>
            <w:r w:rsidR="003E1763">
              <w:rPr>
                <w:sz w:val="20"/>
                <w:szCs w:val="20"/>
                <w:lang w:val="ru-RU"/>
              </w:rPr>
              <w:t xml:space="preserve"> в КР</w:t>
            </w:r>
            <w:r w:rsidRPr="00071356">
              <w:rPr>
                <w:sz w:val="20"/>
                <w:szCs w:val="20"/>
                <w:lang w:val="ru-RU"/>
              </w:rPr>
              <w:t xml:space="preserve">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3E1763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3E1763" w:rsidRPr="003E1763" w:rsidRDefault="00D0527A" w:rsidP="00882E04">
            <w:pPr>
              <w:rPr>
                <w:lang w:val="ky-KG"/>
              </w:rPr>
            </w:pPr>
            <w:r>
              <w:rPr>
                <w:lang w:val="ky-KG"/>
              </w:rPr>
              <w:t>Качели детские двойные</w:t>
            </w:r>
            <w:r w:rsidR="003E1763">
              <w:rPr>
                <w:lang w:val="ky-KG"/>
              </w:rPr>
              <w:t xml:space="preserve"> </w:t>
            </w:r>
          </w:p>
        </w:tc>
        <w:tc>
          <w:tcPr>
            <w:tcW w:w="1392" w:type="dxa"/>
          </w:tcPr>
          <w:p w:rsidR="00882E04" w:rsidRPr="00071356" w:rsidRDefault="00CA0176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3E1763" w:rsidRPr="003E1763" w:rsidTr="00882E04">
        <w:tc>
          <w:tcPr>
            <w:tcW w:w="673" w:type="dxa"/>
          </w:tcPr>
          <w:p w:rsidR="003E1763" w:rsidRPr="00071356" w:rsidRDefault="003E176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3E1763" w:rsidRDefault="006823AB" w:rsidP="006823AB">
            <w:pPr>
              <w:rPr>
                <w:lang w:val="ky-KG"/>
              </w:rPr>
            </w:pPr>
            <w:r>
              <w:rPr>
                <w:lang w:val="ky-KG"/>
              </w:rPr>
              <w:t>Качели-б</w:t>
            </w:r>
            <w:r w:rsidR="00D0527A">
              <w:rPr>
                <w:lang w:val="ky-KG"/>
              </w:rPr>
              <w:t>алансир</w:t>
            </w:r>
          </w:p>
        </w:tc>
        <w:tc>
          <w:tcPr>
            <w:tcW w:w="1392" w:type="dxa"/>
          </w:tcPr>
          <w:p w:rsidR="003E1763" w:rsidRDefault="00CA0176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3E1763" w:rsidRDefault="003E1763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D0527A" w:rsidRPr="003E1763" w:rsidTr="00882E04">
        <w:tc>
          <w:tcPr>
            <w:tcW w:w="673" w:type="dxa"/>
          </w:tcPr>
          <w:p w:rsidR="00D0527A" w:rsidRDefault="00D0527A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D0527A" w:rsidRDefault="00D0527A" w:rsidP="00882E04">
            <w:pPr>
              <w:rPr>
                <w:lang w:val="ky-KG"/>
              </w:rPr>
            </w:pPr>
            <w:r>
              <w:rPr>
                <w:lang w:val="ky-KG"/>
              </w:rPr>
              <w:t>Скамейки детские</w:t>
            </w:r>
          </w:p>
        </w:tc>
        <w:tc>
          <w:tcPr>
            <w:tcW w:w="1392" w:type="dxa"/>
          </w:tcPr>
          <w:p w:rsidR="00D0527A" w:rsidRDefault="00CA0176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155" w:type="dxa"/>
          </w:tcPr>
          <w:p w:rsidR="00D0527A" w:rsidRPr="005F0652" w:rsidRDefault="00D0527A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D0527A" w:rsidRPr="005F0652" w:rsidRDefault="00D0527A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D0527A" w:rsidRDefault="00D0527A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>{Примечание: В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D46423" w:rsidRPr="00CA0176" w:rsidRDefault="00797792" w:rsidP="00CA0176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>Вышеуказанные цены являются твердыми и фиксированными и не подле</w:t>
      </w:r>
      <w:bookmarkStart w:id="0" w:name="_GoBack"/>
      <w:bookmarkEnd w:id="0"/>
      <w:r w:rsidRPr="00071356">
        <w:rPr>
          <w:lang w:val="ru-RU"/>
        </w:rPr>
        <w:t xml:space="preserve">жат каким-либо корректировкам в ходе выполнения контракта. </w:t>
      </w:r>
      <w:r w:rsidR="00D46423" w:rsidRPr="00071356">
        <w:rPr>
          <w:bCs/>
          <w:lang w:val="ru-RU"/>
        </w:rPr>
        <w:t xml:space="preserve">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CA0176" w:rsidP="005F0652">
      <w:pPr>
        <w:ind w:left="142"/>
        <w:jc w:val="both"/>
        <w:rPr>
          <w:lang w:val="ru-RU"/>
        </w:rPr>
      </w:pPr>
      <w:r>
        <w:rPr>
          <w:lang w:val="ru-RU"/>
        </w:rPr>
        <w:t>3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="00501892"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="00501892"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="00501892"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CA0176" w:rsidP="005F0652">
      <w:pPr>
        <w:ind w:left="142"/>
        <w:jc w:val="both"/>
        <w:rPr>
          <w:lang w:val="ru-RU"/>
        </w:rPr>
      </w:pPr>
      <w:r>
        <w:rPr>
          <w:lang w:val="ru-RU"/>
        </w:rPr>
        <w:t>4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CA0176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CA0176" w:rsidP="005F0652">
      <w:pPr>
        <w:ind w:left="142"/>
        <w:jc w:val="both"/>
        <w:rPr>
          <w:lang w:val="ru-RU"/>
        </w:rPr>
      </w:pPr>
      <w:r>
        <w:rPr>
          <w:lang w:val="ru-RU"/>
        </w:rPr>
        <w:t>6</w:t>
      </w:r>
      <w:r w:rsidR="003536A9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Поставка товаров.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 w:rsidR="008D3C19">
        <w:rPr>
          <w:lang w:val="ru-RU"/>
        </w:rPr>
        <w:t>: г. Бишкек, ул. Уметалиева 108.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8D3C19" w:rsidP="005F0652">
      <w:pPr>
        <w:ind w:left="142"/>
        <w:jc w:val="both"/>
        <w:rPr>
          <w:lang w:val="ru-RU"/>
        </w:rPr>
      </w:pPr>
      <w:r>
        <w:rPr>
          <w:lang w:val="ru-RU"/>
        </w:rPr>
        <w:lastRenderedPageBreak/>
        <w:t>7</w:t>
      </w:r>
      <w:r w:rsidR="00882E04">
        <w:rPr>
          <w:lang w:val="ru-RU"/>
        </w:rPr>
        <w:t xml:space="preserve">. </w:t>
      </w:r>
      <w:r w:rsidR="00882E04" w:rsidRPr="00B14263">
        <w:rPr>
          <w:u w:val="single"/>
          <w:lang w:val="ru-RU"/>
        </w:rPr>
        <w:t>Документация</w:t>
      </w:r>
      <w:r w:rsidR="00882E04" w:rsidRPr="00071356">
        <w:rPr>
          <w:b/>
          <w:u w:val="single"/>
          <w:lang w:val="ru-RU"/>
        </w:rPr>
        <w:t>:</w:t>
      </w:r>
      <w:r w:rsidR="00882E04">
        <w:rPr>
          <w:b/>
          <w:lang w:val="ru-RU"/>
        </w:rPr>
        <w:t xml:space="preserve"> </w:t>
      </w:r>
      <w:r w:rsidR="00882E04" w:rsidRPr="00882E04">
        <w:rPr>
          <w:lang w:val="ru-RU"/>
        </w:rPr>
        <w:t>Передача товара осуществляется</w:t>
      </w:r>
      <w:r w:rsidR="00882E04"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8D3C19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8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8D3C19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 xml:space="preserve">10. </w:t>
      </w:r>
      <w:r w:rsidR="009712C9" w:rsidRPr="00B14263">
        <w:rPr>
          <w:u w:val="single"/>
          <w:lang w:val="ru-RU"/>
        </w:rPr>
        <w:t xml:space="preserve">Дефекты: </w:t>
      </w:r>
      <w:r w:rsidR="009712C9" w:rsidRPr="00B14263">
        <w:rPr>
          <w:lang w:val="ru-RU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  <w:r w:rsidR="009712C9" w:rsidRPr="008D3C19">
        <w:rPr>
          <w:highlight w:val="yellow"/>
          <w:lang w:val="ru-RU"/>
        </w:rPr>
        <w:t>Адрес</w:t>
      </w:r>
      <w:r w:rsidR="00B16A06" w:rsidRPr="008D3C19">
        <w:rPr>
          <w:highlight w:val="yellow"/>
          <w:lang w:val="ru-RU"/>
        </w:rPr>
        <w:t xml:space="preserve"> сервис центра Поставщика</w:t>
      </w:r>
      <w:r w:rsidR="00B16A06">
        <w:rPr>
          <w:lang w:val="ru-RU"/>
        </w:rPr>
        <w:t xml:space="preserve">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3536A9">
        <w:rPr>
          <w:lang w:val="ru-RU"/>
        </w:rPr>
        <w:t>1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3536A9">
        <w:rPr>
          <w:u w:val="single"/>
          <w:lang w:val="ru-RU"/>
        </w:rPr>
        <w:t>2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r>
              <w:rPr>
                <w:b/>
                <w:sz w:val="22"/>
                <w:szCs w:val="22"/>
              </w:rPr>
              <w:t>Спецификации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соответствие)</w:t>
            </w:r>
          </w:p>
        </w:tc>
      </w:tr>
      <w:tr w:rsidR="000A5B1C" w:rsidRPr="00CA0176" w:rsidTr="000A5B1C">
        <w:tc>
          <w:tcPr>
            <w:tcW w:w="392" w:type="dxa"/>
            <w:shd w:val="clear" w:color="auto" w:fill="FFFFFF"/>
          </w:tcPr>
          <w:p w:rsidR="000A5B1C" w:rsidRPr="00082B67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0A5B1C" w:rsidRPr="003E1763" w:rsidRDefault="002820C6" w:rsidP="000A5B1C">
            <w:pPr>
              <w:rPr>
                <w:lang w:val="ru-RU"/>
              </w:rPr>
            </w:pPr>
            <w:r>
              <w:rPr>
                <w:lang w:val="ky-KG"/>
              </w:rPr>
              <w:t>Качели детские двойные</w:t>
            </w:r>
          </w:p>
        </w:tc>
        <w:tc>
          <w:tcPr>
            <w:tcW w:w="4678" w:type="dxa"/>
          </w:tcPr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Назначение: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 xml:space="preserve">предназначены для </w:t>
            </w:r>
            <w:r>
              <w:rPr>
                <w:lang w:val="ru-RU"/>
              </w:rPr>
              <w:t>и</w:t>
            </w:r>
            <w:r w:rsidRPr="004D2F9E">
              <w:rPr>
                <w:lang w:val="ru-RU"/>
              </w:rPr>
              <w:t>спользования на детских и игровых</w:t>
            </w:r>
            <w:r>
              <w:rPr>
                <w:lang w:val="ru-RU"/>
              </w:rPr>
              <w:t xml:space="preserve"> площадках. </w:t>
            </w:r>
            <w:r w:rsidRPr="004D2F9E">
              <w:rPr>
                <w:lang w:val="ru-RU"/>
              </w:rPr>
              <w:t>Изделия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разработаны в соответствии с требованиями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безопасности.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Каркас и рама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детских качелей выполнены из металла и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окрашены в яркие цвета.</w:t>
            </w:r>
            <w:r>
              <w:rPr>
                <w:lang w:val="ru-RU"/>
              </w:rPr>
              <w:t xml:space="preserve"> </w:t>
            </w:r>
          </w:p>
          <w:p w:rsid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 xml:space="preserve">Применяемые материалы: 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Конструкция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рамы </w:t>
            </w:r>
            <w:r w:rsidRPr="004D2F9E">
              <w:rPr>
                <w:lang w:val="ru-RU"/>
              </w:rPr>
              <w:t>сборно-сварная из стальной профильной трубы</w:t>
            </w:r>
          </w:p>
          <w:p w:rsid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сечением не менее 25*20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мм и толщиной 1,5</w:t>
            </w:r>
            <w:r>
              <w:rPr>
                <w:lang w:val="ru-RU"/>
              </w:rPr>
              <w:t xml:space="preserve"> мм. сидения </w:t>
            </w:r>
            <w:r w:rsidRPr="004D2F9E">
              <w:rPr>
                <w:lang w:val="ru-RU"/>
              </w:rPr>
              <w:t>из фанер</w:t>
            </w:r>
            <w:r>
              <w:rPr>
                <w:lang w:val="ru-RU"/>
              </w:rPr>
              <w:t xml:space="preserve">ы </w:t>
            </w:r>
            <w:r w:rsidRPr="004D2F9E">
              <w:rPr>
                <w:lang w:val="ru-RU"/>
              </w:rPr>
              <w:t xml:space="preserve">толщиной </w:t>
            </w:r>
            <w:r>
              <w:rPr>
                <w:lang w:val="ru-RU"/>
              </w:rPr>
              <w:t xml:space="preserve">не менее </w:t>
            </w:r>
            <w:r w:rsidRPr="004D2F9E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мм</w:t>
            </w:r>
            <w:r>
              <w:rPr>
                <w:lang w:val="ru-RU"/>
              </w:rPr>
              <w:t xml:space="preserve"> или </w:t>
            </w:r>
            <w:r w:rsidR="00D0071E">
              <w:rPr>
                <w:lang w:val="ru-RU"/>
              </w:rPr>
              <w:t xml:space="preserve">прочного </w:t>
            </w:r>
            <w:r>
              <w:rPr>
                <w:lang w:val="ru-RU"/>
              </w:rPr>
              <w:t>пластика</w:t>
            </w:r>
            <w:r w:rsidRPr="004D2F9E">
              <w:rPr>
                <w:lang w:val="ru-RU"/>
              </w:rPr>
              <w:t xml:space="preserve">. 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Покрытие: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порошковое полимерное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окрашивание в два слоя стойкое к атмосферным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осадкам,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обеспечивающее долговечную эксплуатацию на</w:t>
            </w:r>
          </w:p>
          <w:p w:rsid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открытом воздухе в диапазоне температур -30 +45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</w:p>
          <w:p w:rsidR="00040BAC" w:rsidRDefault="00040BAC" w:rsidP="000A5B1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40BAC">
              <w:rPr>
                <w:lang w:val="ru-RU"/>
              </w:rPr>
              <w:t xml:space="preserve"> состоянии покоя расстояние от сиденья до поверхности игровой площадки должно быть не менее 400 мм</w:t>
            </w:r>
          </w:p>
          <w:p w:rsidR="00040BAC" w:rsidRDefault="00040BAC" w:rsidP="000A5B1C">
            <w:pPr>
              <w:rPr>
                <w:lang w:val="ru-RU"/>
              </w:rPr>
            </w:pPr>
            <w:r w:rsidRPr="00040BAC">
              <w:rPr>
                <w:lang w:val="ru-RU"/>
              </w:rPr>
              <w:t>В качестве гибких элементов подвеса качелей должны применяться канаты или цепи</w:t>
            </w:r>
            <w:r>
              <w:rPr>
                <w:lang w:val="ru-RU"/>
              </w:rPr>
              <w:t>.</w:t>
            </w:r>
          </w:p>
          <w:p w:rsidR="00040BAC" w:rsidRDefault="00040BAC" w:rsidP="000A5B1C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40BAC">
              <w:rPr>
                <w:lang w:val="ru-RU"/>
              </w:rPr>
              <w:t xml:space="preserve"> одной раме качелей не более двух сидений</w:t>
            </w:r>
            <w:r>
              <w:rPr>
                <w:lang w:val="ru-RU"/>
              </w:rPr>
              <w:t>.</w:t>
            </w:r>
          </w:p>
          <w:p w:rsidR="00EC4D38" w:rsidRDefault="002820C6" w:rsidP="000A5B1C">
            <w:pPr>
              <w:rPr>
                <w:lang w:val="ru-RU"/>
              </w:rPr>
            </w:pPr>
            <w:r>
              <w:rPr>
                <w:lang w:val="ru-RU"/>
              </w:rPr>
              <w:t>Ширина</w:t>
            </w:r>
            <w:r w:rsidR="00EC4D38">
              <w:rPr>
                <w:lang w:val="ru-RU"/>
              </w:rPr>
              <w:t>:</w:t>
            </w:r>
            <w:r>
              <w:rPr>
                <w:lang w:val="ru-RU"/>
              </w:rPr>
              <w:t xml:space="preserve"> 1,6 метров</w:t>
            </w:r>
          </w:p>
          <w:p w:rsidR="002820C6" w:rsidRDefault="002820C6" w:rsidP="000A5B1C">
            <w:pPr>
              <w:rPr>
                <w:lang w:val="ru-RU"/>
              </w:rPr>
            </w:pPr>
            <w:r>
              <w:rPr>
                <w:lang w:val="ru-RU"/>
              </w:rPr>
              <w:t>Длина 3 метров</w:t>
            </w:r>
          </w:p>
          <w:p w:rsidR="002820C6" w:rsidRDefault="002820C6" w:rsidP="000A5B1C">
            <w:pPr>
              <w:rPr>
                <w:lang w:val="ru-RU"/>
              </w:rPr>
            </w:pPr>
            <w:r>
              <w:rPr>
                <w:lang w:val="ru-RU"/>
              </w:rPr>
              <w:t>Высота 2 метра после установки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Pr="001D35F9" w:rsidRDefault="00632BE6" w:rsidP="00632BE6">
            <w:pPr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A5B1C" w:rsidRPr="00EE0D8D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0A5B1C" w:rsidRPr="00CA0176" w:rsidTr="000A5B1C">
        <w:tc>
          <w:tcPr>
            <w:tcW w:w="392" w:type="dxa"/>
            <w:shd w:val="clear" w:color="auto" w:fill="FFFFFF"/>
          </w:tcPr>
          <w:p w:rsidR="000A5B1C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0A5B1C" w:rsidRPr="00D87E21" w:rsidRDefault="00040BAC" w:rsidP="00040BAC">
            <w:pPr>
              <w:rPr>
                <w:lang w:val="ru-RU"/>
              </w:rPr>
            </w:pPr>
            <w:r>
              <w:rPr>
                <w:lang w:val="ky-KG"/>
              </w:rPr>
              <w:t>Качели-б</w:t>
            </w:r>
            <w:r w:rsidR="002820C6">
              <w:rPr>
                <w:lang w:val="ky-KG"/>
              </w:rPr>
              <w:t>алансир</w:t>
            </w:r>
          </w:p>
        </w:tc>
        <w:tc>
          <w:tcPr>
            <w:tcW w:w="4678" w:type="dxa"/>
          </w:tcPr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Назначение: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 xml:space="preserve">предназначены для </w:t>
            </w:r>
            <w:r>
              <w:rPr>
                <w:lang w:val="ru-RU"/>
              </w:rPr>
              <w:t>и</w:t>
            </w:r>
            <w:r w:rsidRPr="004D2F9E">
              <w:rPr>
                <w:lang w:val="ru-RU"/>
              </w:rPr>
              <w:t>спользования на детских и игровых</w:t>
            </w:r>
            <w:r>
              <w:rPr>
                <w:lang w:val="ru-RU"/>
              </w:rPr>
              <w:t xml:space="preserve"> площадках. </w:t>
            </w:r>
            <w:r w:rsidRPr="004D2F9E">
              <w:rPr>
                <w:lang w:val="ru-RU"/>
              </w:rPr>
              <w:t>.Изделия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разработаны в соответствии с требованиями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безопасности.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Каркас и рама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детских качелей-балансиров выполнены из металла и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окрашены в яркие цвета.</w:t>
            </w:r>
            <w:r>
              <w:rPr>
                <w:lang w:val="ru-RU"/>
              </w:rPr>
              <w:t xml:space="preserve"> </w:t>
            </w:r>
          </w:p>
          <w:p w:rsid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 xml:space="preserve">Применяемые материалы: 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Конструкция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горки сборно-сварная из стальной профильной трубы</w:t>
            </w:r>
          </w:p>
          <w:p w:rsid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сечением не менее 25*20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мм и толщиной 1,5</w:t>
            </w:r>
            <w:r>
              <w:rPr>
                <w:lang w:val="ru-RU"/>
              </w:rPr>
              <w:t xml:space="preserve"> мм. сидения </w:t>
            </w:r>
            <w:r w:rsidRPr="004D2F9E">
              <w:rPr>
                <w:lang w:val="ru-RU"/>
              </w:rPr>
              <w:t>из фанер</w:t>
            </w:r>
            <w:r>
              <w:rPr>
                <w:lang w:val="ru-RU"/>
              </w:rPr>
              <w:t xml:space="preserve">ы </w:t>
            </w:r>
            <w:r w:rsidRPr="004D2F9E">
              <w:rPr>
                <w:lang w:val="ru-RU"/>
              </w:rPr>
              <w:t xml:space="preserve">толщиной </w:t>
            </w:r>
            <w:r>
              <w:rPr>
                <w:lang w:val="ru-RU"/>
              </w:rPr>
              <w:t xml:space="preserve">не менее </w:t>
            </w:r>
            <w:r w:rsidRPr="004D2F9E">
              <w:rPr>
                <w:lang w:val="ru-RU"/>
              </w:rPr>
              <w:t>14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мм</w:t>
            </w:r>
            <w:r w:rsidR="00D0071E">
              <w:rPr>
                <w:lang w:val="ru-RU"/>
              </w:rPr>
              <w:t xml:space="preserve"> </w:t>
            </w:r>
            <w:r w:rsidR="00D0071E">
              <w:rPr>
                <w:lang w:val="ru-RU"/>
              </w:rPr>
              <w:t>или прочного пластика</w:t>
            </w:r>
            <w:r w:rsidRPr="004D2F9E">
              <w:rPr>
                <w:lang w:val="ru-RU"/>
              </w:rPr>
              <w:t xml:space="preserve">. 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lastRenderedPageBreak/>
              <w:t>Покрытие: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порошковое полимерное</w:t>
            </w:r>
          </w:p>
          <w:p w:rsidR="004D2F9E" w:rsidRP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окрашивание в два слоя стойкое к атмосферным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осадкам,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обеспечивающее долговечную эксплуатацию на</w:t>
            </w:r>
          </w:p>
          <w:p w:rsidR="004D2F9E" w:rsidRDefault="004D2F9E" w:rsidP="004D2F9E">
            <w:pPr>
              <w:rPr>
                <w:lang w:val="ru-RU"/>
              </w:rPr>
            </w:pPr>
            <w:r w:rsidRPr="004D2F9E">
              <w:rPr>
                <w:lang w:val="ru-RU"/>
              </w:rPr>
              <w:t>открытом воздухе в диапазоне температур -30 +45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</w:p>
          <w:p w:rsidR="002820C6" w:rsidRDefault="002820C6" w:rsidP="004D2F9E">
            <w:pPr>
              <w:rPr>
                <w:lang w:val="ru-RU"/>
              </w:rPr>
            </w:pPr>
            <w:r>
              <w:rPr>
                <w:lang w:val="ru-RU"/>
              </w:rPr>
              <w:t>Ширина у основания:  0,5 метров</w:t>
            </w:r>
          </w:p>
          <w:p w:rsidR="002820C6" w:rsidRDefault="002820C6" w:rsidP="002820C6">
            <w:pPr>
              <w:rPr>
                <w:lang w:val="ru-RU"/>
              </w:rPr>
            </w:pPr>
            <w:r>
              <w:rPr>
                <w:lang w:val="ru-RU"/>
              </w:rPr>
              <w:t>Длина 2 метров</w:t>
            </w:r>
          </w:p>
          <w:p w:rsidR="002820C6" w:rsidRDefault="002820C6" w:rsidP="002820C6">
            <w:pPr>
              <w:rPr>
                <w:lang w:val="ru-RU"/>
              </w:rPr>
            </w:pPr>
            <w:r>
              <w:rPr>
                <w:lang w:val="ru-RU"/>
              </w:rPr>
              <w:t>Высота 0,4 метра после установки</w:t>
            </w:r>
          </w:p>
          <w:p w:rsidR="002820C6" w:rsidRDefault="002820C6" w:rsidP="002820C6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Default="00632BE6" w:rsidP="002820C6">
            <w:pPr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0A5B1C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2820C6" w:rsidRPr="002820C6" w:rsidTr="000A5B1C">
        <w:tc>
          <w:tcPr>
            <w:tcW w:w="392" w:type="dxa"/>
            <w:shd w:val="clear" w:color="auto" w:fill="FFFFFF"/>
          </w:tcPr>
          <w:p w:rsidR="002820C6" w:rsidRDefault="002820C6" w:rsidP="000A5B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2820C6" w:rsidRDefault="002820C6" w:rsidP="000A5B1C">
            <w:pPr>
              <w:rPr>
                <w:lang w:val="ky-KG"/>
              </w:rPr>
            </w:pPr>
            <w:r>
              <w:rPr>
                <w:lang w:val="ky-KG"/>
              </w:rPr>
              <w:t>Скамейки детские</w:t>
            </w:r>
          </w:p>
        </w:tc>
        <w:tc>
          <w:tcPr>
            <w:tcW w:w="4678" w:type="dxa"/>
          </w:tcPr>
          <w:p w:rsidR="00D0071E" w:rsidRPr="004D2F9E" w:rsidRDefault="00D0071E" w:rsidP="00D0071E">
            <w:pPr>
              <w:rPr>
                <w:lang w:val="ru-RU"/>
              </w:rPr>
            </w:pPr>
            <w:r w:rsidRPr="004D2F9E">
              <w:rPr>
                <w:lang w:val="ru-RU"/>
              </w:rPr>
              <w:t>Назначение: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 xml:space="preserve">предназначены для </w:t>
            </w:r>
            <w:r>
              <w:rPr>
                <w:lang w:val="ru-RU"/>
              </w:rPr>
              <w:t>и</w:t>
            </w:r>
            <w:r w:rsidRPr="004D2F9E">
              <w:rPr>
                <w:lang w:val="ru-RU"/>
              </w:rPr>
              <w:t>спользования на детских и игровых</w:t>
            </w:r>
            <w:r>
              <w:rPr>
                <w:lang w:val="ru-RU"/>
              </w:rPr>
              <w:t xml:space="preserve"> площадках. </w:t>
            </w:r>
            <w:r w:rsidRPr="004D2F9E">
              <w:rPr>
                <w:lang w:val="ru-RU"/>
              </w:rPr>
              <w:t>.Изделия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разработаны в соответствии с требованиями</w:t>
            </w:r>
          </w:p>
          <w:p w:rsidR="00D0071E" w:rsidRPr="004D2F9E" w:rsidRDefault="00D0071E" w:rsidP="00D0071E">
            <w:pPr>
              <w:rPr>
                <w:lang w:val="ru-RU"/>
              </w:rPr>
            </w:pPr>
            <w:r w:rsidRPr="004D2F9E">
              <w:rPr>
                <w:lang w:val="ru-RU"/>
              </w:rPr>
              <w:t>безопасности.</w:t>
            </w:r>
          </w:p>
          <w:p w:rsidR="00D0071E" w:rsidRDefault="00D0071E" w:rsidP="002820C6">
            <w:pPr>
              <w:rPr>
                <w:lang w:val="ru-RU"/>
              </w:rPr>
            </w:pPr>
            <w:r w:rsidRPr="00D0071E">
              <w:rPr>
                <w:lang w:val="ru-RU"/>
              </w:rPr>
              <w:t xml:space="preserve">Скамейка изготовлена из </w:t>
            </w:r>
            <w:r>
              <w:rPr>
                <w:lang w:val="ru-RU"/>
              </w:rPr>
              <w:t>металла</w:t>
            </w:r>
            <w:r w:rsidRPr="00D0071E">
              <w:rPr>
                <w:lang w:val="ru-RU"/>
              </w:rPr>
              <w:t xml:space="preserve"> и дерева</w:t>
            </w:r>
            <w:r>
              <w:rPr>
                <w:lang w:val="ru-RU"/>
              </w:rPr>
              <w:t>.</w:t>
            </w:r>
          </w:p>
          <w:p w:rsidR="00D0071E" w:rsidRPr="004D2F9E" w:rsidRDefault="00D0071E" w:rsidP="00D0071E">
            <w:pPr>
              <w:rPr>
                <w:lang w:val="ru-RU"/>
              </w:rPr>
            </w:pPr>
            <w:r w:rsidRPr="004D2F9E">
              <w:rPr>
                <w:lang w:val="ru-RU"/>
              </w:rPr>
              <w:t>Покрытие</w:t>
            </w:r>
            <w:r>
              <w:rPr>
                <w:lang w:val="ru-RU"/>
              </w:rPr>
              <w:t xml:space="preserve"> металлической части</w:t>
            </w:r>
            <w:r w:rsidRPr="004D2F9E">
              <w:rPr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порошковое полимерное</w:t>
            </w:r>
          </w:p>
          <w:p w:rsidR="00D0071E" w:rsidRPr="004D2F9E" w:rsidRDefault="00D0071E" w:rsidP="00D0071E">
            <w:pPr>
              <w:rPr>
                <w:lang w:val="ru-RU"/>
              </w:rPr>
            </w:pPr>
            <w:r w:rsidRPr="004D2F9E">
              <w:rPr>
                <w:lang w:val="ru-RU"/>
              </w:rPr>
              <w:t>окрашивание в два слоя стойкое к атмосферным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осадкам,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обеспечивающее долговечную эксплуатацию на</w:t>
            </w:r>
          </w:p>
          <w:p w:rsidR="00D0071E" w:rsidRDefault="00D0071E" w:rsidP="00D0071E">
            <w:pPr>
              <w:rPr>
                <w:lang w:val="ru-RU"/>
              </w:rPr>
            </w:pPr>
            <w:r w:rsidRPr="004D2F9E">
              <w:rPr>
                <w:lang w:val="ru-RU"/>
              </w:rPr>
              <w:t>открытом воздухе в диапазоне температур -30 +45</w:t>
            </w:r>
            <w:r>
              <w:rPr>
                <w:lang w:val="ru-RU"/>
              </w:rPr>
              <w:t xml:space="preserve"> </w:t>
            </w:r>
            <w:r w:rsidRPr="004D2F9E">
              <w:rPr>
                <w:lang w:val="ru-RU"/>
              </w:rPr>
              <w:t>С</w:t>
            </w:r>
            <w:r>
              <w:rPr>
                <w:lang w:val="ru-RU"/>
              </w:rPr>
              <w:t>.</w:t>
            </w:r>
          </w:p>
          <w:p w:rsidR="002820C6" w:rsidRDefault="002820C6" w:rsidP="002820C6">
            <w:pPr>
              <w:rPr>
                <w:lang w:val="ru-RU"/>
              </w:rPr>
            </w:pPr>
            <w:r>
              <w:rPr>
                <w:lang w:val="ru-RU"/>
              </w:rPr>
              <w:t>Ширина 0,4 метра</w:t>
            </w:r>
          </w:p>
          <w:p w:rsidR="002820C6" w:rsidRDefault="002820C6" w:rsidP="002820C6">
            <w:pPr>
              <w:rPr>
                <w:lang w:val="ru-RU"/>
              </w:rPr>
            </w:pPr>
            <w:r>
              <w:rPr>
                <w:lang w:val="ru-RU"/>
              </w:rPr>
              <w:t>Длина 1,7 метра</w:t>
            </w:r>
          </w:p>
          <w:p w:rsidR="002820C6" w:rsidRDefault="002820C6" w:rsidP="002820C6">
            <w:pPr>
              <w:rPr>
                <w:lang w:val="ru-RU"/>
              </w:rPr>
            </w:pPr>
            <w:r>
              <w:rPr>
                <w:lang w:val="ru-RU"/>
              </w:rPr>
              <w:t>Высота 0,4 метра после установки</w:t>
            </w:r>
          </w:p>
          <w:p w:rsidR="002820C6" w:rsidRDefault="002820C6" w:rsidP="002820C6">
            <w:pPr>
              <w:rPr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2820C6" w:rsidRDefault="002820C6" w:rsidP="000A5B1C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3536A9">
        <w:rPr>
          <w:lang w:val="ru-RU"/>
        </w:rPr>
        <w:t>3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D0071E">
      <w:pPr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D0071E" w:rsidRPr="00954544" w:rsidRDefault="00D0071E" w:rsidP="00D0071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D0071E">
        <w:rPr>
          <w:sz w:val="22"/>
          <w:lang w:val="ru-RU"/>
        </w:rPr>
        <w:t>(наименование поставщика)</w:t>
      </w:r>
    </w:p>
    <w:p w:rsidR="00D0071E" w:rsidRPr="00071356" w:rsidRDefault="00D0071E" w:rsidP="00D0071E">
      <w:pPr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  <w:r w:rsidRPr="00D0071E">
        <w:rPr>
          <w:lang w:val="ru-RU"/>
        </w:rPr>
        <w:t xml:space="preserve"> </w:t>
      </w:r>
      <w:r w:rsidRPr="00071356">
        <w:rPr>
          <w:lang w:val="ru-RU"/>
        </w:rPr>
        <w:t>Печать компании:</w:t>
      </w:r>
    </w:p>
    <w:p w:rsidR="00D0071E" w:rsidRDefault="00D0071E" w:rsidP="00D0071E">
      <w:pPr>
        <w:rPr>
          <w:bCs/>
          <w:lang w:val="ru-RU"/>
        </w:rPr>
      </w:pPr>
    </w:p>
    <w:p w:rsidR="00D0071E" w:rsidRPr="00071356" w:rsidRDefault="00D0071E" w:rsidP="00D0071E">
      <w:pPr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D0071E" w:rsidRDefault="00D0071E" w:rsidP="00D0071E">
      <w:pPr>
        <w:rPr>
          <w:lang w:val="ru-RU"/>
        </w:rPr>
      </w:pPr>
    </w:p>
    <w:p w:rsidR="00D0071E" w:rsidRPr="00071356" w:rsidRDefault="00D0071E" w:rsidP="00D0071E">
      <w:pPr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</w:p>
    <w:p w:rsidR="00AD2F0B" w:rsidRPr="005F468D" w:rsidRDefault="00174127" w:rsidP="006823AB">
      <w:pPr>
        <w:rPr>
          <w:lang w:val="ru-RU"/>
        </w:rPr>
      </w:pPr>
      <w:r w:rsidRPr="00071356">
        <w:rPr>
          <w:lang w:val="ru-RU"/>
        </w:rPr>
        <w:t>Место:</w:t>
      </w:r>
      <w:r w:rsidR="006823AB">
        <w:rPr>
          <w:lang w:val="ru-RU"/>
        </w:rPr>
        <w:t xml:space="preserve"> _______________</w:t>
      </w:r>
    </w:p>
    <w:sectPr w:rsidR="00AD2F0B" w:rsidRPr="005F468D" w:rsidSect="00895DFB">
      <w:headerReference w:type="even" r:id="rId8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74" w:rsidRDefault="00AF1F74">
      <w:r>
        <w:separator/>
      </w:r>
    </w:p>
  </w:endnote>
  <w:endnote w:type="continuationSeparator" w:id="0">
    <w:p w:rsidR="00AF1F74" w:rsidRDefault="00AF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74" w:rsidRDefault="00AF1F74">
      <w:r>
        <w:separator/>
      </w:r>
    </w:p>
  </w:footnote>
  <w:footnote w:type="continuationSeparator" w:id="0">
    <w:p w:rsidR="00AF1F74" w:rsidRDefault="00AF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3066"/>
    <w:rsid w:val="00004E11"/>
    <w:rsid w:val="000053C8"/>
    <w:rsid w:val="00012955"/>
    <w:rsid w:val="00013982"/>
    <w:rsid w:val="00017CCA"/>
    <w:rsid w:val="000207CF"/>
    <w:rsid w:val="000207E1"/>
    <w:rsid w:val="00021F4B"/>
    <w:rsid w:val="00040BAC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C2B74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20C6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1F5C"/>
    <w:rsid w:val="003A2C9F"/>
    <w:rsid w:val="003A6FC6"/>
    <w:rsid w:val="003C3105"/>
    <w:rsid w:val="003C68ED"/>
    <w:rsid w:val="003D10DF"/>
    <w:rsid w:val="003D164F"/>
    <w:rsid w:val="003D5290"/>
    <w:rsid w:val="003E1763"/>
    <w:rsid w:val="003E7CEA"/>
    <w:rsid w:val="003F47B3"/>
    <w:rsid w:val="003F54B3"/>
    <w:rsid w:val="004211C8"/>
    <w:rsid w:val="00421804"/>
    <w:rsid w:val="00421E57"/>
    <w:rsid w:val="004231ED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6FE8"/>
    <w:rsid w:val="004D2F9E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B57C9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724A2"/>
    <w:rsid w:val="006823AB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4189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2780B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D3C19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1F74"/>
    <w:rsid w:val="00AF3881"/>
    <w:rsid w:val="00AF6D27"/>
    <w:rsid w:val="00AF6D79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4260A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940D5"/>
    <w:rsid w:val="00C97360"/>
    <w:rsid w:val="00CA0176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71E"/>
    <w:rsid w:val="00D00F6E"/>
    <w:rsid w:val="00D0527A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87E21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4D38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07AD2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4E9FF9-6DCE-46F4-B7FF-BD33360A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3C56-03B7-45FF-8F41-6158EEE2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8034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3</cp:revision>
  <cp:lastPrinted>2013-02-18T04:22:00Z</cp:lastPrinted>
  <dcterms:created xsi:type="dcterms:W3CDTF">2017-07-26T06:21:00Z</dcterms:created>
  <dcterms:modified xsi:type="dcterms:W3CDTF">2017-07-26T06:22:00Z</dcterms:modified>
</cp:coreProperties>
</file>