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E8" w:rsidRDefault="004C6FE8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72780B">
        <w:rPr>
          <w:lang w:val="ru-RU"/>
        </w:rPr>
        <w:t>«__»_________</w:t>
      </w:r>
      <w:r w:rsidR="004231ED">
        <w:rPr>
          <w:lang w:val="ru-RU"/>
        </w:rPr>
        <w:t>2017</w:t>
      </w:r>
      <w:r w:rsidR="005F0652">
        <w:rPr>
          <w:lang w:val="ru-RU"/>
        </w:rPr>
        <w:t xml:space="preserve">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4231ED" w:rsidRPr="001B5666" w:rsidRDefault="000207CF" w:rsidP="004231E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047DD1">
        <w:rPr>
          <w:spacing w:val="-3"/>
          <w:lang w:val="ru-RU"/>
        </w:rPr>
        <w:t>контракт на поставку интерактивного комплекта</w:t>
      </w:r>
      <w:r w:rsidR="00E93B48" w:rsidRPr="001B5666">
        <w:rPr>
          <w:spacing w:val="-3"/>
          <w:lang w:val="ru-RU"/>
        </w:rPr>
        <w:t xml:space="preserve"> </w:t>
      </w:r>
      <w:r w:rsidR="001D35F9" w:rsidRPr="00047DD1">
        <w:rPr>
          <w:spacing w:val="-3"/>
          <w:lang w:val="ru-RU"/>
        </w:rPr>
        <w:t>№201</w:t>
      </w:r>
      <w:r w:rsidR="00047DD1" w:rsidRPr="00047DD1">
        <w:rPr>
          <w:spacing w:val="-3"/>
          <w:lang w:val="ru-RU"/>
        </w:rPr>
        <w:t>7</w:t>
      </w:r>
      <w:r w:rsidR="00F92141" w:rsidRPr="00047DD1">
        <w:rPr>
          <w:spacing w:val="-3"/>
          <w:lang w:val="ru-RU"/>
        </w:rPr>
        <w:t>-</w:t>
      </w:r>
      <w:r w:rsidR="00F92141" w:rsidRPr="00047DD1">
        <w:rPr>
          <w:spacing w:val="-3"/>
        </w:rPr>
        <w:t>G</w:t>
      </w:r>
      <w:r w:rsidR="00F92141" w:rsidRPr="00047DD1">
        <w:rPr>
          <w:spacing w:val="-3"/>
          <w:lang w:val="ru-RU"/>
        </w:rPr>
        <w:t>-</w:t>
      </w:r>
      <w:r w:rsidR="00047DD1" w:rsidRPr="00047DD1">
        <w:rPr>
          <w:spacing w:val="-3"/>
          <w:lang w:val="ru-RU"/>
        </w:rPr>
        <w:t>1</w:t>
      </w:r>
      <w:r w:rsidR="001B5666" w:rsidRPr="00047DD1">
        <w:rPr>
          <w:spacing w:val="-3"/>
          <w:lang w:val="ru-RU"/>
        </w:rPr>
        <w:t>/1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</w:t>
      </w:r>
      <w:r w:rsidR="00DB6417">
        <w:rPr>
          <w:spacing w:val="-3"/>
          <w:lang w:val="ru-RU"/>
        </w:rPr>
        <w:t xml:space="preserve">ию, по цене Контракта в размере </w:t>
      </w:r>
      <w:r w:rsidR="00047DD1">
        <w:rPr>
          <w:b/>
          <w:spacing w:val="-3"/>
          <w:lang w:val="ru-RU"/>
        </w:rPr>
        <w:t>_________</w:t>
      </w:r>
      <w:r w:rsidR="00DB6417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047DD1">
        <w:rPr>
          <w:spacing w:val="-3"/>
          <w:lang w:val="ru-RU"/>
        </w:rPr>
        <w:t>_____________________________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</w:t>
      </w:r>
      <w:r w:rsidR="00DB6417">
        <w:rPr>
          <w:spacing w:val="-3"/>
          <w:lang w:val="ru-RU"/>
        </w:rPr>
        <w:t xml:space="preserve">те в течение периода 30 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Фамилия и должность подписавшего:___________________________________________</w:t>
      </w:r>
    </w:p>
    <w:p w:rsidR="00047DD1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</w:t>
      </w:r>
      <w:r w:rsidR="00DB6417">
        <w:rPr>
          <w:spacing w:val="-3"/>
          <w:lang w:val="ru-RU"/>
        </w:rPr>
        <w:t xml:space="preserve">вание Поставщика: </w:t>
      </w:r>
    </w:p>
    <w:p w:rsidR="000207CF" w:rsidRPr="00DB641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  <w:r w:rsidR="00DB6417">
        <w:rPr>
          <w:spacing w:val="-3"/>
          <w:lang w:val="ru-RU"/>
        </w:rPr>
        <w:t xml:space="preserve"> </w:t>
      </w:r>
    </w:p>
    <w:p w:rsidR="00DB6417" w:rsidRPr="00A63AEB" w:rsidRDefault="00DB6417" w:rsidP="00047DD1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B5666">
        <w:rPr>
          <w:spacing w:val="-3"/>
          <w:lang w:val="ru-RU"/>
        </w:rPr>
        <w:t>Телефон</w:t>
      </w:r>
      <w:r w:rsidR="00047DD1">
        <w:rPr>
          <w:spacing w:val="-3"/>
          <w:lang w:val="ru-RU"/>
        </w:rPr>
        <w:t>:</w:t>
      </w:r>
    </w:p>
    <w:p w:rsidR="00A63AEB" w:rsidRDefault="00A63AEB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>
        <w:rPr>
          <w:spacing w:val="-3"/>
        </w:rPr>
        <w:t>E</w:t>
      </w:r>
      <w:r w:rsidRPr="00A63AEB">
        <w:rPr>
          <w:spacing w:val="-3"/>
          <w:lang w:val="ru-RU"/>
        </w:rPr>
        <w:t>-</w:t>
      </w:r>
      <w:r>
        <w:rPr>
          <w:spacing w:val="-3"/>
        </w:rPr>
        <w:t>mail</w:t>
      </w:r>
      <w:r>
        <w:rPr>
          <w:spacing w:val="-3"/>
          <w:lang w:val="ru-RU"/>
        </w:rPr>
        <w:t xml:space="preserve">: </w:t>
      </w:r>
    </w:p>
    <w:p w:rsidR="00A63AEB" w:rsidRDefault="00A63AEB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A63AEB" w:rsidRDefault="00A63AEB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A63AEB" w:rsidRDefault="00A63AEB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A63AEB" w:rsidRPr="00A63AEB" w:rsidRDefault="00A63AEB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  <w:r>
        <w:rPr>
          <w:spacing w:val="-3"/>
          <w:lang w:val="ru-RU"/>
        </w:rPr>
        <w:t>МП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47DD1">
      <w:pPr>
        <w:ind w:left="426"/>
        <w:jc w:val="both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 w:rsidRPr="00047DD1">
        <w:rPr>
          <w:b/>
          <w:bCs/>
          <w:lang w:val="ru-RU"/>
        </w:rPr>
        <w:t>201</w:t>
      </w:r>
      <w:r w:rsidR="00047DD1" w:rsidRPr="00047DD1">
        <w:rPr>
          <w:b/>
          <w:bCs/>
          <w:lang w:val="ru-RU"/>
        </w:rPr>
        <w:t>7</w:t>
      </w:r>
      <w:r w:rsidR="00F92141" w:rsidRPr="00047DD1">
        <w:rPr>
          <w:b/>
          <w:bCs/>
        </w:rPr>
        <w:t>-G-</w:t>
      </w:r>
      <w:r w:rsidR="00047DD1" w:rsidRPr="00047DD1">
        <w:rPr>
          <w:b/>
          <w:bCs/>
          <w:lang w:val="ru-RU"/>
        </w:rPr>
        <w:t>1</w:t>
      </w:r>
      <w:r w:rsidR="001B5666" w:rsidRPr="00047DD1">
        <w:rPr>
          <w:b/>
          <w:bCs/>
          <w:lang w:val="ru-RU"/>
        </w:rPr>
        <w:t>/1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377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013"/>
      </w:tblGrid>
      <w:tr w:rsidR="00C908B6" w:rsidRPr="00071356" w:rsidTr="006672D8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  <w:r w:rsidR="00047DD1">
              <w:rPr>
                <w:b/>
                <w:sz w:val="22"/>
                <w:szCs w:val="22"/>
                <w:lang w:val="ru-RU"/>
              </w:rPr>
              <w:t>, сом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>в т.ч. все налоги, НДС, таможенные пошлины, сборы, стоимость внутренней транспортировки</w:t>
            </w:r>
            <w:r w:rsidR="003E1763">
              <w:rPr>
                <w:sz w:val="20"/>
                <w:szCs w:val="20"/>
                <w:lang w:val="ru-RU"/>
              </w:rPr>
              <w:t xml:space="preserve"> в КР</w:t>
            </w:r>
            <w:r w:rsidRPr="00071356">
              <w:rPr>
                <w:sz w:val="20"/>
                <w:szCs w:val="20"/>
                <w:lang w:val="ru-RU"/>
              </w:rPr>
              <w:t xml:space="preserve">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013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882E04" w:rsidRPr="003E1763" w:rsidTr="006672D8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3E1763" w:rsidRPr="003E1763" w:rsidRDefault="00DB6417" w:rsidP="00047DD1">
            <w:pPr>
              <w:rPr>
                <w:lang w:val="ky-KG"/>
              </w:rPr>
            </w:pPr>
            <w:r>
              <w:rPr>
                <w:lang w:val="ky-KG"/>
              </w:rPr>
              <w:t xml:space="preserve">Сенсорная интерактивная доска </w:t>
            </w:r>
          </w:p>
        </w:tc>
        <w:tc>
          <w:tcPr>
            <w:tcW w:w="1392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Pr="005F0652" w:rsidRDefault="00882E04" w:rsidP="00A63AE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13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3E1763" w:rsidRPr="003E1763" w:rsidTr="006672D8">
        <w:tc>
          <w:tcPr>
            <w:tcW w:w="673" w:type="dxa"/>
          </w:tcPr>
          <w:p w:rsidR="003E1763" w:rsidRPr="00071356" w:rsidRDefault="003E176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871" w:type="dxa"/>
          </w:tcPr>
          <w:p w:rsidR="003E1763" w:rsidRPr="00047DD1" w:rsidRDefault="00DB6417" w:rsidP="00047DD1">
            <w:pPr>
              <w:rPr>
                <w:lang w:val="ru-RU"/>
              </w:rPr>
            </w:pPr>
            <w:r>
              <w:rPr>
                <w:lang w:val="ky-KG"/>
              </w:rPr>
              <w:t xml:space="preserve">Проектор </w:t>
            </w:r>
            <w:r w:rsidR="00047DD1">
              <w:rPr>
                <w:lang w:val="ru-RU"/>
              </w:rPr>
              <w:t>к интерактивной доске</w:t>
            </w:r>
          </w:p>
        </w:tc>
        <w:tc>
          <w:tcPr>
            <w:tcW w:w="1392" w:type="dxa"/>
          </w:tcPr>
          <w:p w:rsidR="003E1763" w:rsidRDefault="00C97360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3E1763" w:rsidRPr="005F0652" w:rsidRDefault="003E176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3E1763" w:rsidRPr="005F0652" w:rsidRDefault="003E176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13" w:type="dxa"/>
          </w:tcPr>
          <w:p w:rsidR="003E1763" w:rsidRDefault="003E1763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DB6417" w:rsidRPr="003E1763" w:rsidTr="006672D8">
        <w:tc>
          <w:tcPr>
            <w:tcW w:w="673" w:type="dxa"/>
          </w:tcPr>
          <w:p w:rsidR="00DB6417" w:rsidRDefault="00DB6417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871" w:type="dxa"/>
          </w:tcPr>
          <w:p w:rsidR="00DB6417" w:rsidRDefault="00DB6417" w:rsidP="00047DD1">
            <w:pPr>
              <w:rPr>
                <w:lang w:val="ky-KG"/>
              </w:rPr>
            </w:pPr>
            <w:r>
              <w:rPr>
                <w:lang w:val="ru-RU"/>
              </w:rPr>
              <w:t xml:space="preserve">Ноутбук </w:t>
            </w:r>
          </w:p>
        </w:tc>
        <w:tc>
          <w:tcPr>
            <w:tcW w:w="1392" w:type="dxa"/>
          </w:tcPr>
          <w:p w:rsidR="00DB6417" w:rsidRDefault="00DB6417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DB6417" w:rsidRPr="005F0652" w:rsidRDefault="00DB6417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DB6417" w:rsidRPr="005F0652" w:rsidRDefault="00DB6417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13" w:type="dxa"/>
          </w:tcPr>
          <w:p w:rsidR="00DB6417" w:rsidRDefault="00DB6417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DB6417" w:rsidRPr="003E1763" w:rsidTr="006672D8">
        <w:tc>
          <w:tcPr>
            <w:tcW w:w="673" w:type="dxa"/>
          </w:tcPr>
          <w:p w:rsidR="00DB6417" w:rsidRDefault="00DB6417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871" w:type="dxa"/>
          </w:tcPr>
          <w:p w:rsidR="00DB6417" w:rsidRDefault="00DB6417" w:rsidP="00882E04">
            <w:pPr>
              <w:rPr>
                <w:lang w:val="ru-RU"/>
              </w:rPr>
            </w:pPr>
            <w:r>
              <w:rPr>
                <w:lang w:val="ru-RU"/>
              </w:rPr>
              <w:t>Крепление для проектора</w:t>
            </w:r>
          </w:p>
        </w:tc>
        <w:tc>
          <w:tcPr>
            <w:tcW w:w="1392" w:type="dxa"/>
          </w:tcPr>
          <w:p w:rsidR="00DB6417" w:rsidRDefault="00DB6417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DB6417" w:rsidRPr="005F0652" w:rsidRDefault="00DB6417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DB6417" w:rsidRPr="005F0652" w:rsidRDefault="00DB6417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13" w:type="dxa"/>
          </w:tcPr>
          <w:p w:rsidR="00DB6417" w:rsidRDefault="00DB6417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430B41" w:rsidRPr="005A316D" w:rsidTr="006672D8">
        <w:tc>
          <w:tcPr>
            <w:tcW w:w="673" w:type="dxa"/>
          </w:tcPr>
          <w:p w:rsidR="00430B41" w:rsidRDefault="00430B41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871" w:type="dxa"/>
          </w:tcPr>
          <w:p w:rsidR="00430B41" w:rsidRDefault="00430B41" w:rsidP="00882E04">
            <w:pPr>
              <w:rPr>
                <w:lang w:val="ru-RU"/>
              </w:rPr>
            </w:pPr>
            <w:r>
              <w:rPr>
                <w:lang w:val="ru-RU"/>
              </w:rPr>
              <w:t>Доставка до места назначения</w:t>
            </w:r>
            <w:r w:rsidR="005A316D">
              <w:rPr>
                <w:lang w:val="ru-RU"/>
              </w:rPr>
              <w:t xml:space="preserve"> и установка</w:t>
            </w:r>
          </w:p>
        </w:tc>
        <w:tc>
          <w:tcPr>
            <w:tcW w:w="1392" w:type="dxa"/>
          </w:tcPr>
          <w:p w:rsidR="00430B41" w:rsidRDefault="00430B41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155" w:type="dxa"/>
          </w:tcPr>
          <w:p w:rsidR="00430B41" w:rsidRPr="005F0652" w:rsidRDefault="00430B41" w:rsidP="00882E04">
            <w:pPr>
              <w:jc w:val="both"/>
              <w:rPr>
                <w:bCs/>
                <w:lang w:val="ru-RU"/>
              </w:rPr>
            </w:pPr>
            <w:bookmarkStart w:id="0" w:name="_GoBack"/>
            <w:bookmarkEnd w:id="0"/>
          </w:p>
        </w:tc>
        <w:tc>
          <w:tcPr>
            <w:tcW w:w="2273" w:type="dxa"/>
          </w:tcPr>
          <w:p w:rsidR="00430B41" w:rsidRPr="005F0652" w:rsidRDefault="00430B41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13" w:type="dxa"/>
          </w:tcPr>
          <w:p w:rsidR="00430B41" w:rsidRDefault="00430B41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A63AEB" w:rsidRPr="003E1763" w:rsidTr="006672D8">
        <w:tc>
          <w:tcPr>
            <w:tcW w:w="673" w:type="dxa"/>
          </w:tcPr>
          <w:p w:rsidR="00A63AEB" w:rsidRDefault="00A63AEB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871" w:type="dxa"/>
          </w:tcPr>
          <w:p w:rsidR="00A63AEB" w:rsidRPr="00A63AEB" w:rsidRDefault="00A63AEB" w:rsidP="00882E04">
            <w:pPr>
              <w:rPr>
                <w:b/>
                <w:lang w:val="ru-RU"/>
              </w:rPr>
            </w:pPr>
            <w:r w:rsidRPr="00A63AEB">
              <w:rPr>
                <w:b/>
                <w:lang w:val="ru-RU"/>
              </w:rPr>
              <w:t>Итого</w:t>
            </w:r>
          </w:p>
        </w:tc>
        <w:tc>
          <w:tcPr>
            <w:tcW w:w="1392" w:type="dxa"/>
          </w:tcPr>
          <w:p w:rsidR="00A63AEB" w:rsidRDefault="00A63AEB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155" w:type="dxa"/>
          </w:tcPr>
          <w:p w:rsidR="00A63AEB" w:rsidRDefault="00A63AEB" w:rsidP="00882E04">
            <w:pPr>
              <w:jc w:val="both"/>
              <w:rPr>
                <w:lang w:val="ru-RU"/>
              </w:rPr>
            </w:pPr>
          </w:p>
        </w:tc>
        <w:tc>
          <w:tcPr>
            <w:tcW w:w="2273" w:type="dxa"/>
          </w:tcPr>
          <w:p w:rsidR="00A63AEB" w:rsidRPr="00A63AEB" w:rsidRDefault="00A63AEB" w:rsidP="00882E04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13" w:type="dxa"/>
          </w:tcPr>
          <w:p w:rsidR="00A63AEB" w:rsidRDefault="00A63AEB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>{Примечание: В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5F0652">
      <w:pPr>
        <w:ind w:left="142"/>
        <w:jc w:val="both"/>
        <w:rPr>
          <w:lang w:val="ru-RU"/>
        </w:rPr>
      </w:pPr>
    </w:p>
    <w:p w:rsidR="00797792" w:rsidRPr="00071356" w:rsidRDefault="00047DD1" w:rsidP="005F0652">
      <w:pPr>
        <w:ind w:left="142"/>
        <w:jc w:val="both"/>
        <w:rPr>
          <w:lang w:val="ru-RU"/>
        </w:rPr>
      </w:pPr>
      <w:r>
        <w:rPr>
          <w:bCs/>
          <w:lang w:val="ru-RU"/>
        </w:rPr>
        <w:t>3.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="00501892" w:rsidRPr="00071356">
        <w:rPr>
          <w:lang w:val="ru-RU"/>
        </w:rPr>
        <w:t xml:space="preserve">, но не позднее </w:t>
      </w:r>
      <w:r w:rsidR="0060494A" w:rsidRPr="006672D8">
        <w:rPr>
          <w:b/>
          <w:lang w:val="ru-RU"/>
        </w:rPr>
        <w:t>30</w:t>
      </w:r>
      <w:r w:rsidR="00501892" w:rsidRPr="006672D8">
        <w:rPr>
          <w:b/>
          <w:lang w:val="ru-RU"/>
        </w:rPr>
        <w:t xml:space="preserve"> календарных дней</w:t>
      </w:r>
      <w:r w:rsidR="00501892" w:rsidRPr="00071356">
        <w:rPr>
          <w:lang w:val="ru-RU"/>
        </w:rPr>
        <w:t xml:space="preserve"> с</w:t>
      </w:r>
      <w:r w:rsidR="001D00A3" w:rsidRPr="00071356">
        <w:rPr>
          <w:lang w:val="ru-RU"/>
        </w:rPr>
        <w:t xml:space="preserve"> даты </w:t>
      </w:r>
      <w:r w:rsidR="00501892"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047DD1" w:rsidP="005F0652">
      <w:pPr>
        <w:ind w:left="142"/>
        <w:jc w:val="both"/>
        <w:rPr>
          <w:lang w:val="ru-RU"/>
        </w:rPr>
      </w:pPr>
      <w:r>
        <w:rPr>
          <w:lang w:val="ru-RU"/>
        </w:rPr>
        <w:t>4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047DD1" w:rsidP="005F0652">
      <w:pPr>
        <w:ind w:left="142"/>
        <w:jc w:val="both"/>
        <w:rPr>
          <w:lang w:val="ru-RU"/>
        </w:rPr>
      </w:pPr>
      <w:r>
        <w:rPr>
          <w:lang w:val="ru-RU"/>
        </w:rPr>
        <w:t>5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047DD1" w:rsidP="005F0652">
      <w:pPr>
        <w:ind w:left="142"/>
        <w:jc w:val="both"/>
        <w:rPr>
          <w:lang w:val="ru-RU"/>
        </w:rPr>
      </w:pPr>
      <w:r>
        <w:rPr>
          <w:lang w:val="ru-RU"/>
        </w:rPr>
        <w:t>6</w:t>
      </w:r>
      <w:r w:rsidR="003536A9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Поставка товаров.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 w:rsidR="001A183B">
        <w:rPr>
          <w:lang w:val="ru-RU"/>
        </w:rPr>
        <w:t xml:space="preserve">: </w:t>
      </w:r>
      <w:r w:rsidR="001A183B" w:rsidRPr="001A183B">
        <w:rPr>
          <w:b/>
          <w:lang w:val="ru-RU"/>
        </w:rPr>
        <w:t>Иссык-Кульская область, Тонский район, село Шор-Булак</w:t>
      </w:r>
      <w:r w:rsidR="001A183B">
        <w:rPr>
          <w:lang w:val="ru-RU"/>
        </w:rPr>
        <w:t>, средняя школа</w:t>
      </w:r>
      <w:r w:rsidR="00882E04">
        <w:rPr>
          <w:lang w:val="ru-RU"/>
        </w:rPr>
        <w:t xml:space="preserve"> </w:t>
      </w:r>
      <w:r w:rsidR="001A183B">
        <w:rPr>
          <w:lang w:val="ru-RU"/>
        </w:rPr>
        <w:t>им. С. Эркинбаева, ул. К. Мукашева 25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047DD1" w:rsidP="005F0652">
      <w:pPr>
        <w:ind w:left="142"/>
        <w:jc w:val="both"/>
        <w:rPr>
          <w:lang w:val="ru-RU"/>
        </w:rPr>
      </w:pPr>
      <w:r>
        <w:rPr>
          <w:lang w:val="ru-RU"/>
        </w:rPr>
        <w:t>7</w:t>
      </w:r>
      <w:r w:rsidR="00882E04">
        <w:rPr>
          <w:lang w:val="ru-RU"/>
        </w:rPr>
        <w:t xml:space="preserve">. </w:t>
      </w:r>
      <w:r w:rsidR="00882E04" w:rsidRPr="00B14263">
        <w:rPr>
          <w:u w:val="single"/>
          <w:lang w:val="ru-RU"/>
        </w:rPr>
        <w:t>Документация</w:t>
      </w:r>
      <w:r w:rsidR="00882E04" w:rsidRPr="00071356">
        <w:rPr>
          <w:b/>
          <w:u w:val="single"/>
          <w:lang w:val="ru-RU"/>
        </w:rPr>
        <w:t>:</w:t>
      </w:r>
      <w:r w:rsidR="00882E04">
        <w:rPr>
          <w:b/>
          <w:lang w:val="ru-RU"/>
        </w:rPr>
        <w:t xml:space="preserve"> </w:t>
      </w:r>
      <w:r w:rsidR="00882E04" w:rsidRPr="00882E04">
        <w:rPr>
          <w:lang w:val="ru-RU"/>
        </w:rPr>
        <w:t>Передача товара осуществляется</w:t>
      </w:r>
      <w:r w:rsidR="00882E04"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047DD1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8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047DD1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 xml:space="preserve">10. </w:t>
      </w:r>
      <w:r w:rsidR="009712C9" w:rsidRPr="00B14263">
        <w:rPr>
          <w:u w:val="single"/>
          <w:lang w:val="ru-RU"/>
        </w:rPr>
        <w:t xml:space="preserve">Дефекты: </w:t>
      </w:r>
      <w:r w:rsidR="009712C9" w:rsidRPr="00B14263">
        <w:rPr>
          <w:lang w:val="ru-RU"/>
        </w:rPr>
        <w:t xml:space="preserve"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</w:t>
      </w:r>
      <w:r w:rsidR="009712C9" w:rsidRPr="006672D8">
        <w:rPr>
          <w:highlight w:val="yellow"/>
          <w:lang w:val="ru-RU"/>
        </w:rPr>
        <w:t>Адрес</w:t>
      </w:r>
      <w:r w:rsidR="00B16A06" w:rsidRPr="006672D8">
        <w:rPr>
          <w:highlight w:val="yellow"/>
          <w:lang w:val="ru-RU"/>
        </w:rPr>
        <w:t xml:space="preserve"> сервис центра Поставщика</w:t>
      </w:r>
      <w:r w:rsidR="00B16A06">
        <w:rPr>
          <w:lang w:val="ru-RU"/>
        </w:rPr>
        <w:t xml:space="preserve">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3536A9">
        <w:rPr>
          <w:lang w:val="ru-RU"/>
        </w:rPr>
        <w:t>1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3536A9">
        <w:rPr>
          <w:u w:val="single"/>
          <w:lang w:val="ru-RU"/>
        </w:rPr>
        <w:t>2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D87E21" w:rsidRDefault="00D87E21" w:rsidP="00B14263">
      <w:pPr>
        <w:jc w:val="center"/>
        <w:rPr>
          <w:b/>
          <w:lang w:val="ru-RU"/>
        </w:rPr>
      </w:pPr>
    </w:p>
    <w:p w:rsidR="00DB6417" w:rsidRDefault="00DB6417" w:rsidP="00DB6417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DB6417" w:rsidRPr="00071356" w:rsidRDefault="00DB6417" w:rsidP="00DB6417">
      <w:pPr>
        <w:jc w:val="center"/>
        <w:rPr>
          <w:b/>
          <w:lang w:val="ru-RU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128"/>
        <w:gridCol w:w="4816"/>
        <w:gridCol w:w="1845"/>
      </w:tblGrid>
      <w:tr w:rsidR="00DB6417" w:rsidRPr="007B5D13" w:rsidTr="00A63AEB">
        <w:tc>
          <w:tcPr>
            <w:tcW w:w="393" w:type="dxa"/>
            <w:shd w:val="clear" w:color="auto" w:fill="E0E0E0"/>
          </w:tcPr>
          <w:p w:rsidR="00DB6417" w:rsidRDefault="00DB6417" w:rsidP="002608A0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DB6417" w:rsidRPr="0040742E" w:rsidRDefault="00DB6417" w:rsidP="002608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8" w:type="dxa"/>
            <w:shd w:val="clear" w:color="auto" w:fill="E0E0E0"/>
          </w:tcPr>
          <w:p w:rsidR="00DB6417" w:rsidRPr="0040742E" w:rsidRDefault="00DB6417" w:rsidP="002608A0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816" w:type="dxa"/>
            <w:shd w:val="clear" w:color="auto" w:fill="E0E0E0"/>
          </w:tcPr>
          <w:p w:rsidR="00DB6417" w:rsidRPr="009B47AE" w:rsidRDefault="00DB6417" w:rsidP="002608A0">
            <w:pPr>
              <w:jc w:val="center"/>
            </w:pPr>
            <w:r>
              <w:rPr>
                <w:b/>
                <w:sz w:val="22"/>
                <w:szCs w:val="22"/>
              </w:rPr>
              <w:t>Спецификации</w:t>
            </w:r>
          </w:p>
        </w:tc>
        <w:tc>
          <w:tcPr>
            <w:tcW w:w="1845" w:type="dxa"/>
            <w:shd w:val="clear" w:color="auto" w:fill="E0E0E0"/>
            <w:vAlign w:val="center"/>
          </w:tcPr>
          <w:p w:rsidR="00DB6417" w:rsidRPr="002D0A3F" w:rsidRDefault="00DB6417" w:rsidP="002608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 (укажите соответствие)</w:t>
            </w:r>
          </w:p>
        </w:tc>
      </w:tr>
      <w:tr w:rsidR="00DB6417" w:rsidRPr="005A316D" w:rsidTr="00A63AEB">
        <w:tc>
          <w:tcPr>
            <w:tcW w:w="393" w:type="dxa"/>
            <w:shd w:val="clear" w:color="auto" w:fill="FFFFFF"/>
          </w:tcPr>
          <w:p w:rsidR="00DB6417" w:rsidRPr="00082B67" w:rsidRDefault="00DB6417" w:rsidP="0026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8" w:type="dxa"/>
          </w:tcPr>
          <w:p w:rsidR="00DB6417" w:rsidRPr="009D3EAC" w:rsidRDefault="00DB6417" w:rsidP="00047DD1">
            <w:pPr>
              <w:rPr>
                <w:lang w:val="ru-RU"/>
              </w:rPr>
            </w:pPr>
            <w:r>
              <w:rPr>
                <w:lang w:val="ky-KG"/>
              </w:rPr>
              <w:t xml:space="preserve">Сенсорная интерактивная доска </w:t>
            </w:r>
          </w:p>
        </w:tc>
        <w:tc>
          <w:tcPr>
            <w:tcW w:w="4816" w:type="dxa"/>
          </w:tcPr>
          <w:p w:rsidR="005548A7" w:rsidRPr="00863012" w:rsidRDefault="005548A7" w:rsidP="005548A7">
            <w:pPr>
              <w:rPr>
                <w:lang w:val="ru-RU"/>
              </w:rPr>
            </w:pPr>
            <w:r w:rsidRPr="00863012">
              <w:rPr>
                <w:lang w:val="ru-RU"/>
              </w:rPr>
              <w:t>Комплект поставки</w:t>
            </w:r>
            <w:r>
              <w:rPr>
                <w:lang w:val="ru-RU"/>
              </w:rPr>
              <w:t>:</w:t>
            </w:r>
          </w:p>
          <w:p w:rsidR="005548A7" w:rsidRPr="005548A7" w:rsidRDefault="005548A7" w:rsidP="005548A7">
            <w:pPr>
              <w:pStyle w:val="af0"/>
              <w:numPr>
                <w:ilvl w:val="0"/>
                <w:numId w:val="34"/>
              </w:numPr>
              <w:rPr>
                <w:lang w:val="ru-RU"/>
              </w:rPr>
            </w:pPr>
            <w:r w:rsidRPr="005548A7">
              <w:rPr>
                <w:lang w:val="ru-RU"/>
              </w:rPr>
              <w:t>Интерактивная доска;</w:t>
            </w:r>
          </w:p>
          <w:p w:rsidR="005548A7" w:rsidRPr="005548A7" w:rsidRDefault="005548A7" w:rsidP="005548A7">
            <w:pPr>
              <w:pStyle w:val="af0"/>
              <w:numPr>
                <w:ilvl w:val="0"/>
                <w:numId w:val="34"/>
              </w:numPr>
              <w:rPr>
                <w:lang w:val="ru-RU"/>
              </w:rPr>
            </w:pPr>
            <w:r w:rsidRPr="005548A7">
              <w:rPr>
                <w:lang w:val="ru-RU"/>
              </w:rPr>
              <w:t>Маркер (2 шт);</w:t>
            </w:r>
          </w:p>
          <w:p w:rsidR="005548A7" w:rsidRPr="005548A7" w:rsidRDefault="005548A7" w:rsidP="005548A7">
            <w:pPr>
              <w:pStyle w:val="af0"/>
              <w:numPr>
                <w:ilvl w:val="0"/>
                <w:numId w:val="34"/>
              </w:numPr>
              <w:rPr>
                <w:lang w:val="ru-RU"/>
              </w:rPr>
            </w:pPr>
            <w:r w:rsidRPr="005548A7">
              <w:rPr>
                <w:lang w:val="ru-RU"/>
              </w:rPr>
              <w:t>Блок питания;</w:t>
            </w:r>
          </w:p>
          <w:p w:rsidR="005548A7" w:rsidRPr="005548A7" w:rsidRDefault="005548A7" w:rsidP="005548A7">
            <w:pPr>
              <w:pStyle w:val="af0"/>
              <w:numPr>
                <w:ilvl w:val="0"/>
                <w:numId w:val="34"/>
              </w:numPr>
              <w:rPr>
                <w:lang w:val="ru-RU"/>
              </w:rPr>
            </w:pPr>
            <w:r w:rsidRPr="005548A7">
              <w:rPr>
                <w:lang w:val="ru-RU"/>
              </w:rPr>
              <w:t>Настенное крепление;</w:t>
            </w:r>
          </w:p>
          <w:p w:rsidR="005548A7" w:rsidRPr="005548A7" w:rsidRDefault="005548A7" w:rsidP="005548A7">
            <w:pPr>
              <w:pStyle w:val="af0"/>
              <w:numPr>
                <w:ilvl w:val="0"/>
                <w:numId w:val="34"/>
              </w:numPr>
              <w:rPr>
                <w:lang w:val="ru-RU"/>
              </w:rPr>
            </w:pPr>
            <w:r w:rsidRPr="005548A7">
              <w:rPr>
                <w:lang w:val="ru-RU"/>
              </w:rPr>
              <w:t>Соединительный кабель USB;</w:t>
            </w:r>
          </w:p>
          <w:p w:rsidR="005548A7" w:rsidRPr="005548A7" w:rsidRDefault="005548A7" w:rsidP="005548A7">
            <w:pPr>
              <w:pStyle w:val="af0"/>
              <w:numPr>
                <w:ilvl w:val="0"/>
                <w:numId w:val="34"/>
              </w:numPr>
              <w:rPr>
                <w:lang w:val="ru-RU"/>
              </w:rPr>
            </w:pPr>
            <w:r w:rsidRPr="005548A7">
              <w:rPr>
                <w:lang w:val="ru-RU"/>
              </w:rPr>
              <w:t>Краткое руководство пользователя</w:t>
            </w:r>
          </w:p>
          <w:p w:rsidR="005548A7" w:rsidRPr="005548A7" w:rsidRDefault="005548A7" w:rsidP="005548A7">
            <w:pPr>
              <w:pStyle w:val="af0"/>
              <w:numPr>
                <w:ilvl w:val="0"/>
                <w:numId w:val="34"/>
              </w:numPr>
              <w:rPr>
                <w:lang w:val="ru-RU"/>
              </w:rPr>
            </w:pPr>
            <w:r w:rsidRPr="005548A7">
              <w:rPr>
                <w:lang w:val="ru-RU"/>
              </w:rPr>
              <w:t>Дополнительные принадлежности</w:t>
            </w:r>
          </w:p>
          <w:p w:rsidR="005548A7" w:rsidRDefault="005548A7" w:rsidP="005548A7">
            <w:pPr>
              <w:rPr>
                <w:lang w:val="ru-RU"/>
              </w:rPr>
            </w:pPr>
          </w:p>
          <w:p w:rsidR="005548A7" w:rsidRPr="00863012" w:rsidRDefault="005548A7" w:rsidP="005548A7">
            <w:pPr>
              <w:rPr>
                <w:lang w:val="ru-RU"/>
              </w:rPr>
            </w:pPr>
            <w:r w:rsidRPr="00863012">
              <w:rPr>
                <w:lang w:val="ru-RU"/>
              </w:rPr>
              <w:t>Рабочая поверхность</w:t>
            </w:r>
            <w:r>
              <w:rPr>
                <w:lang w:val="ru-RU"/>
              </w:rPr>
              <w:t>:</w:t>
            </w:r>
            <w:r w:rsidRPr="00863012">
              <w:rPr>
                <w:lang w:val="ru-RU"/>
              </w:rPr>
              <w:t xml:space="preserve"> твердая, износостойкая, антивандальная, матовая, антибликовая;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>
              <w:rPr>
                <w:lang w:val="ru-RU"/>
              </w:rPr>
              <w:t>Минимальный д</w:t>
            </w:r>
            <w:r w:rsidRPr="00251A14">
              <w:rPr>
                <w:lang w:val="ru-RU"/>
              </w:rPr>
              <w:t>иагональный размер</w:t>
            </w:r>
            <w:r>
              <w:rPr>
                <w:lang w:val="ru-RU"/>
              </w:rPr>
              <w:t>:</w:t>
            </w:r>
            <w:r w:rsidR="005548A7">
              <w:rPr>
                <w:lang w:val="ru-RU"/>
              </w:rPr>
              <w:t xml:space="preserve"> </w:t>
            </w:r>
            <w:r w:rsidRPr="00251A14">
              <w:rPr>
                <w:lang w:val="ru-RU"/>
              </w:rPr>
              <w:t>2077 см или 82 дюйма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Размер активной области</w:t>
            </w:r>
            <w:r>
              <w:rPr>
                <w:lang w:val="ru-RU"/>
              </w:rPr>
              <w:t xml:space="preserve"> не менее: </w:t>
            </w:r>
            <w:r w:rsidRPr="00251A14">
              <w:rPr>
                <w:lang w:val="ru-RU"/>
              </w:rPr>
              <w:t>1663 мм × 1172 мм</w:t>
            </w:r>
          </w:p>
          <w:p w:rsidR="005548A7" w:rsidRDefault="00251A14" w:rsidP="005548A7">
            <w:pPr>
              <w:rPr>
                <w:lang w:val="ru-RU"/>
              </w:rPr>
            </w:pPr>
            <w:r w:rsidRPr="00251A14">
              <w:rPr>
                <w:lang w:val="ru-RU"/>
              </w:rPr>
              <w:t>Пропорции</w:t>
            </w:r>
            <w:r>
              <w:rPr>
                <w:lang w:val="ru-RU"/>
              </w:rPr>
              <w:t xml:space="preserve">: </w:t>
            </w:r>
            <w:r w:rsidRPr="00251A14">
              <w:rPr>
                <w:lang w:val="ru-RU"/>
              </w:rPr>
              <w:t>4:3</w:t>
            </w:r>
            <w:r w:rsidR="005548A7" w:rsidRPr="00251A14">
              <w:rPr>
                <w:lang w:val="ru-RU"/>
              </w:rPr>
              <w:t xml:space="preserve"> </w:t>
            </w:r>
          </w:p>
          <w:p w:rsidR="005548A7" w:rsidRPr="00251A14" w:rsidRDefault="005548A7" w:rsidP="005548A7">
            <w:pPr>
              <w:rPr>
                <w:lang w:val="ru-RU"/>
              </w:rPr>
            </w:pPr>
            <w:r w:rsidRPr="00251A14">
              <w:rPr>
                <w:lang w:val="ru-RU"/>
              </w:rPr>
              <w:t>Разрешение касания</w:t>
            </w:r>
            <w:r>
              <w:rPr>
                <w:lang w:val="ru-RU"/>
              </w:rPr>
              <w:t xml:space="preserve"> не менее: </w:t>
            </w:r>
            <w:r w:rsidRPr="00251A14">
              <w:rPr>
                <w:lang w:val="ru-RU"/>
              </w:rPr>
              <w:t>40960 (</w:t>
            </w:r>
            <w:r>
              <w:t>W</w:t>
            </w:r>
            <w:r w:rsidRPr="00251A14">
              <w:rPr>
                <w:lang w:val="ru-RU"/>
              </w:rPr>
              <w:t>) × 40960 (</w:t>
            </w:r>
            <w:r>
              <w:t>D</w:t>
            </w:r>
            <w:r w:rsidRPr="00251A14">
              <w:rPr>
                <w:lang w:val="ru-RU"/>
              </w:rPr>
              <w:t>)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Подключение к ПК</w:t>
            </w:r>
            <w:r>
              <w:rPr>
                <w:lang w:val="ru-RU"/>
              </w:rPr>
              <w:t xml:space="preserve">: через </w:t>
            </w:r>
            <w:r>
              <w:t>USB</w:t>
            </w:r>
            <w:r w:rsidRPr="00251A1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разъем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Драйвер</w:t>
            </w:r>
            <w:r>
              <w:rPr>
                <w:lang w:val="ru-RU"/>
              </w:rPr>
              <w:t xml:space="preserve">: </w:t>
            </w:r>
            <w:r w:rsidRPr="00251A14">
              <w:rPr>
                <w:lang w:val="ru-RU"/>
              </w:rPr>
              <w:t>Не требует драйверов, просто устанавливается прилагаемое ПО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Время отклика</w:t>
            </w:r>
            <w:r>
              <w:rPr>
                <w:lang w:val="ru-RU"/>
              </w:rPr>
              <w:t xml:space="preserve"> не более </w:t>
            </w:r>
            <w:r w:rsidRPr="00251A14">
              <w:rPr>
                <w:lang w:val="ru-RU"/>
              </w:rPr>
              <w:t>&lt; 10 мс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Скорость передачи данных</w:t>
            </w:r>
            <w:r>
              <w:rPr>
                <w:lang w:val="ru-RU"/>
              </w:rPr>
              <w:t xml:space="preserve"> не менее </w:t>
            </w:r>
            <w:r w:rsidRPr="00251A14">
              <w:rPr>
                <w:lang w:val="ru-RU"/>
              </w:rPr>
              <w:t>120 точек в сек</w:t>
            </w:r>
            <w:r w:rsidR="005548A7">
              <w:rPr>
                <w:lang w:val="ru-RU"/>
              </w:rPr>
              <w:t>унду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Минимальный объект распознавания</w:t>
            </w:r>
            <w:r>
              <w:rPr>
                <w:lang w:val="ru-RU"/>
              </w:rPr>
              <w:t xml:space="preserve"> не менее: </w:t>
            </w:r>
            <w:r w:rsidRPr="00251A14">
              <w:rPr>
                <w:lang w:val="ru-RU"/>
              </w:rPr>
              <w:t>5 мм/ сек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Точность касания</w:t>
            </w:r>
            <w:r>
              <w:rPr>
                <w:lang w:val="ru-RU"/>
              </w:rPr>
              <w:t xml:space="preserve"> не менее: </w:t>
            </w:r>
            <w:r w:rsidRPr="00251A14">
              <w:rPr>
                <w:lang w:val="ru-RU"/>
              </w:rPr>
              <w:t>±2 мм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Ввод информации</w:t>
            </w:r>
            <w:r>
              <w:rPr>
                <w:lang w:val="ru-RU"/>
              </w:rPr>
              <w:t>:</w:t>
            </w:r>
            <w:r w:rsidRPr="00251A14">
              <w:rPr>
                <w:lang w:val="ru-RU"/>
              </w:rPr>
              <w:t xml:space="preserve"> касанием</w:t>
            </w:r>
            <w:r>
              <w:rPr>
                <w:lang w:val="ru-RU"/>
              </w:rPr>
              <w:t xml:space="preserve"> паль</w:t>
            </w:r>
            <w:r w:rsidRPr="00251A14">
              <w:rPr>
                <w:lang w:val="ru-RU"/>
              </w:rPr>
              <w:t>ц</w:t>
            </w:r>
            <w:r>
              <w:rPr>
                <w:lang w:val="ru-RU"/>
              </w:rPr>
              <w:t>а</w:t>
            </w:r>
            <w:r w:rsidRPr="00251A14">
              <w:rPr>
                <w:lang w:val="ru-RU"/>
              </w:rPr>
              <w:t>, маркер</w:t>
            </w:r>
            <w:r>
              <w:rPr>
                <w:lang w:val="ru-RU"/>
              </w:rPr>
              <w:t>ом или любым</w:t>
            </w:r>
            <w:r w:rsidRPr="00251A14">
              <w:rPr>
                <w:lang w:val="ru-RU"/>
              </w:rPr>
              <w:t xml:space="preserve"> друг</w:t>
            </w:r>
            <w:r>
              <w:rPr>
                <w:lang w:val="ru-RU"/>
              </w:rPr>
              <w:t>им</w:t>
            </w:r>
            <w:r w:rsidRPr="00251A14">
              <w:rPr>
                <w:lang w:val="ru-RU"/>
              </w:rPr>
              <w:t xml:space="preserve"> непрозрачны</w:t>
            </w:r>
            <w:r>
              <w:rPr>
                <w:lang w:val="ru-RU"/>
              </w:rPr>
              <w:t>м</w:t>
            </w:r>
            <w:r w:rsidRPr="00251A14">
              <w:rPr>
                <w:lang w:val="ru-RU"/>
              </w:rPr>
              <w:t xml:space="preserve"> предмет</w:t>
            </w:r>
            <w:r>
              <w:rPr>
                <w:lang w:val="ru-RU"/>
              </w:rPr>
              <w:t>ом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Рабочая сила тока</w:t>
            </w:r>
            <w:r>
              <w:rPr>
                <w:lang w:val="ru-RU"/>
              </w:rPr>
              <w:t xml:space="preserve">: </w:t>
            </w:r>
            <w:r w:rsidRPr="00251A14">
              <w:rPr>
                <w:lang w:val="ru-RU"/>
              </w:rPr>
              <w:t>&lt; 200</w:t>
            </w:r>
            <w:r>
              <w:t>mA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>
              <w:rPr>
                <w:lang w:val="ru-RU"/>
              </w:rPr>
              <w:t>Режим совмещенной работы: два</w:t>
            </w:r>
            <w:r w:rsidRPr="00251A14">
              <w:rPr>
                <w:lang w:val="ru-RU"/>
              </w:rPr>
              <w:t xml:space="preserve"> пользовател</w:t>
            </w:r>
            <w:r>
              <w:rPr>
                <w:lang w:val="ru-RU"/>
              </w:rPr>
              <w:t>я</w:t>
            </w:r>
            <w:r w:rsidRPr="00251A14">
              <w:rPr>
                <w:lang w:val="ru-RU"/>
              </w:rPr>
              <w:t xml:space="preserve"> (работа двух маркеров одновременно) </w:t>
            </w:r>
          </w:p>
          <w:p w:rsidR="00863012" w:rsidRPr="00863012" w:rsidRDefault="00863012" w:rsidP="00863012">
            <w:pPr>
              <w:rPr>
                <w:lang w:val="ru-RU"/>
              </w:rPr>
            </w:pPr>
            <w:r w:rsidRPr="00863012">
              <w:rPr>
                <w:lang w:val="ru-RU"/>
              </w:rPr>
              <w:t xml:space="preserve">Обеспечивает возможность получения качественного (непрерывного) оцифрованного изображения любых (произвольных) построений без ограничений на способы построения, во </w:t>
            </w:r>
            <w:r w:rsidRPr="00863012">
              <w:rPr>
                <w:lang w:val="ru-RU"/>
              </w:rPr>
              <w:lastRenderedPageBreak/>
              <w:t>всех режимах работы программного обеспечения интерактивной доски;</w:t>
            </w:r>
          </w:p>
          <w:p w:rsidR="00863012" w:rsidRDefault="00863012" w:rsidP="00863012">
            <w:pPr>
              <w:rPr>
                <w:lang w:val="ru-RU"/>
              </w:rPr>
            </w:pPr>
          </w:p>
          <w:p w:rsidR="0030071C" w:rsidRPr="00251A14" w:rsidRDefault="0030071C" w:rsidP="0030071C">
            <w:pPr>
              <w:rPr>
                <w:lang w:val="ru-RU"/>
              </w:rPr>
            </w:pPr>
            <w:r w:rsidRPr="00251A14">
              <w:rPr>
                <w:lang w:val="ru-RU"/>
              </w:rPr>
              <w:t>Перечень основных возможностей программного обеспечения (ПО)</w:t>
            </w:r>
            <w:r>
              <w:rPr>
                <w:lang w:val="ru-RU"/>
              </w:rPr>
              <w:t>:</w:t>
            </w:r>
          </w:p>
          <w:p w:rsidR="00863012" w:rsidRPr="00863012" w:rsidRDefault="00863012" w:rsidP="00863012">
            <w:pPr>
              <w:rPr>
                <w:lang w:val="ru-RU"/>
              </w:rPr>
            </w:pPr>
            <w:r w:rsidRPr="00863012">
              <w:rPr>
                <w:lang w:val="ru-RU"/>
              </w:rPr>
              <w:t>Полностью русифицированное программное обеспечение с возможностью записи всего происходящего на доске и сохранения в виде отдельного файла;</w:t>
            </w:r>
          </w:p>
          <w:p w:rsidR="00863012" w:rsidRPr="00863012" w:rsidRDefault="00863012" w:rsidP="00863012">
            <w:pPr>
              <w:rPr>
                <w:lang w:val="ru-RU"/>
              </w:rPr>
            </w:pPr>
            <w:r w:rsidRPr="00863012">
              <w:rPr>
                <w:lang w:val="ru-RU"/>
              </w:rPr>
              <w:t>Обеспечивает возможность выполнения надписей и комментариев поверх приложений, запускаемых на компьютере;</w:t>
            </w:r>
          </w:p>
          <w:p w:rsidR="00863012" w:rsidRDefault="00863012" w:rsidP="00863012">
            <w:pPr>
              <w:rPr>
                <w:lang w:val="ru-RU"/>
              </w:rPr>
            </w:pPr>
            <w:r w:rsidRPr="00863012">
              <w:rPr>
                <w:lang w:val="ru-RU"/>
              </w:rPr>
              <w:t>Обеспечивает возможность внесения изменений в выбранные документы (в том числе, в офисные приложения MS Word, MS Excel, MS Power Point) и сохранения сделанных записей и пометок непосредственно в тексте документа (файле) в виде внедренных объектов</w:t>
            </w:r>
          </w:p>
          <w:p w:rsidR="00251A14" w:rsidRPr="00251A14" w:rsidRDefault="00251A14" w:rsidP="00251A14">
            <w:pPr>
              <w:rPr>
                <w:lang w:val="ru-RU"/>
              </w:rPr>
            </w:pPr>
            <w:r w:rsidRPr="00251A14">
              <w:rPr>
                <w:lang w:val="ru-RU"/>
              </w:rPr>
              <w:t>Возможность перемещения, поворота, увеличения, уменьшения объектов. Возможности импорта файлов изображения, мультимедиа файлов, а также текстовых файлов. Возможность работы с функцией распознавания рукописного текста на русском и английском языке. Наличие функций записи видеофрагмента действий, выполняемых на экране, сохранения и воспроизведения этих фрагментов. Создание надписей и комментариев поверх приложе</w:t>
            </w:r>
            <w:r w:rsidR="00863012">
              <w:rPr>
                <w:lang w:val="ru-RU"/>
              </w:rPr>
              <w:t>ний, запускаемых на компьютере.</w:t>
            </w:r>
          </w:p>
          <w:p w:rsidR="00251A14" w:rsidRPr="00251A14" w:rsidRDefault="00C8746E" w:rsidP="00251A14">
            <w:pPr>
              <w:rPr>
                <w:lang w:val="ru-RU"/>
              </w:rPr>
            </w:pPr>
            <w:r>
              <w:rPr>
                <w:lang w:val="ru-RU"/>
              </w:rPr>
              <w:t>Поддерживаемые о</w:t>
            </w:r>
            <w:r w:rsidR="00251A14" w:rsidRPr="00251A14">
              <w:rPr>
                <w:lang w:val="ru-RU"/>
              </w:rPr>
              <w:t>перационные системы</w:t>
            </w:r>
            <w:r>
              <w:rPr>
                <w:lang w:val="ru-RU"/>
              </w:rPr>
              <w:t>:</w:t>
            </w:r>
          </w:p>
          <w:p w:rsidR="00DB6417" w:rsidRDefault="00251A14" w:rsidP="002608A0">
            <w:pPr>
              <w:rPr>
                <w:lang w:val="ru-RU"/>
              </w:rPr>
            </w:pPr>
            <w:r>
              <w:t>Windows</w:t>
            </w:r>
            <w:r w:rsidRPr="00251A14">
              <w:rPr>
                <w:lang w:val="ru-RU"/>
              </w:rPr>
              <w:t xml:space="preserve"> </w:t>
            </w:r>
            <w:r>
              <w:t>XP</w:t>
            </w:r>
            <w:r w:rsidRPr="00251A14">
              <w:rPr>
                <w:lang w:val="ru-RU"/>
              </w:rPr>
              <w:t xml:space="preserve"> / </w:t>
            </w:r>
            <w:r w:rsidR="00C8746E">
              <w:t>Windows</w:t>
            </w:r>
            <w:r w:rsidR="00C8746E" w:rsidRPr="00251A14">
              <w:rPr>
                <w:lang w:val="ru-RU"/>
              </w:rPr>
              <w:t xml:space="preserve"> </w:t>
            </w:r>
            <w:r w:rsidRPr="00251A14">
              <w:rPr>
                <w:lang w:val="ru-RU"/>
              </w:rPr>
              <w:t>7</w:t>
            </w:r>
            <w:r w:rsidR="00C8746E">
              <w:rPr>
                <w:lang w:val="ru-RU"/>
              </w:rPr>
              <w:t xml:space="preserve"> и более поздние версии ОС </w:t>
            </w:r>
            <w:r w:rsidR="00C8746E">
              <w:t>Windows</w:t>
            </w:r>
            <w:r w:rsidR="00C8746E">
              <w:rPr>
                <w:lang w:val="ru-RU"/>
              </w:rPr>
              <w:t xml:space="preserve"> </w:t>
            </w:r>
          </w:p>
          <w:p w:rsidR="00DB6417" w:rsidRPr="001D35F9" w:rsidRDefault="00DB6417" w:rsidP="002608A0">
            <w:pPr>
              <w:rPr>
                <w:lang w:val="ru-RU"/>
              </w:rPr>
            </w:pPr>
          </w:p>
        </w:tc>
        <w:tc>
          <w:tcPr>
            <w:tcW w:w="1845" w:type="dxa"/>
            <w:vAlign w:val="center"/>
          </w:tcPr>
          <w:p w:rsidR="00DB6417" w:rsidRPr="009D3EAC" w:rsidRDefault="00DB6417" w:rsidP="002608A0">
            <w:pPr>
              <w:jc w:val="center"/>
              <w:rPr>
                <w:lang w:val="ru-RU"/>
              </w:rPr>
            </w:pPr>
          </w:p>
        </w:tc>
      </w:tr>
      <w:tr w:rsidR="00DB6417" w:rsidRPr="008C3E56" w:rsidTr="00A63AEB">
        <w:tc>
          <w:tcPr>
            <w:tcW w:w="393" w:type="dxa"/>
            <w:shd w:val="clear" w:color="auto" w:fill="FFFFFF"/>
          </w:tcPr>
          <w:p w:rsidR="00DB6417" w:rsidRDefault="00DB6417" w:rsidP="002608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8" w:type="dxa"/>
          </w:tcPr>
          <w:p w:rsidR="00DB6417" w:rsidRPr="008C3E56" w:rsidRDefault="00DB6417" w:rsidP="005548A7">
            <w:r>
              <w:rPr>
                <w:lang w:val="ky-KG"/>
              </w:rPr>
              <w:t xml:space="preserve">Проектор </w:t>
            </w:r>
          </w:p>
        </w:tc>
        <w:tc>
          <w:tcPr>
            <w:tcW w:w="4816" w:type="dxa"/>
          </w:tcPr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>Класс устройства</w:t>
            </w:r>
            <w:r>
              <w:rPr>
                <w:szCs w:val="20"/>
                <w:shd w:val="clear" w:color="auto" w:fill="FFFFFF"/>
                <w:lang w:val="ru-RU"/>
              </w:rPr>
              <w:t>: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 портативный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>Тип устройства</w:t>
            </w:r>
            <w:r>
              <w:rPr>
                <w:szCs w:val="20"/>
                <w:shd w:val="clear" w:color="auto" w:fill="FFFFFF"/>
                <w:lang w:val="ru-RU"/>
              </w:rPr>
              <w:t xml:space="preserve">: 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DLP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Реальное разрешение </w:t>
            </w:r>
            <w:r>
              <w:rPr>
                <w:szCs w:val="20"/>
                <w:shd w:val="clear" w:color="auto" w:fill="FFFFFF"/>
                <w:lang w:val="ru-RU"/>
              </w:rPr>
              <w:t xml:space="preserve">не менее 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800x600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>Поддержка 3D</w:t>
            </w:r>
            <w:r>
              <w:rPr>
                <w:szCs w:val="20"/>
                <w:shd w:val="clear" w:color="auto" w:fill="FFFFFF"/>
                <w:lang w:val="ru-RU"/>
              </w:rPr>
              <w:t>: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 есть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Срок службы лампы </w:t>
            </w:r>
            <w:r>
              <w:rPr>
                <w:szCs w:val="20"/>
                <w:shd w:val="clear" w:color="auto" w:fill="FFFFFF"/>
                <w:lang w:val="ru-RU"/>
              </w:rPr>
              <w:t xml:space="preserve">не менее 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5000 часов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Срок службы лампы в экономичном режиме </w:t>
            </w:r>
            <w:r>
              <w:rPr>
                <w:szCs w:val="20"/>
                <w:shd w:val="clear" w:color="auto" w:fill="FFFFFF"/>
                <w:lang w:val="ru-RU"/>
              </w:rPr>
              <w:t xml:space="preserve">не менее 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6000 часов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Количество ламп </w:t>
            </w:r>
            <w:r>
              <w:rPr>
                <w:szCs w:val="20"/>
                <w:shd w:val="clear" w:color="auto" w:fill="FFFFFF"/>
                <w:lang w:val="ru-RU"/>
              </w:rPr>
              <w:t xml:space="preserve">не менее 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1 </w:t>
            </w:r>
            <w:r>
              <w:rPr>
                <w:szCs w:val="20"/>
                <w:shd w:val="clear" w:color="auto" w:fill="FFFFFF"/>
                <w:lang w:val="ru-RU"/>
              </w:rPr>
              <w:t>шт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Мощность лампы </w:t>
            </w:r>
            <w:r>
              <w:rPr>
                <w:szCs w:val="20"/>
                <w:shd w:val="clear" w:color="auto" w:fill="FFFFFF"/>
                <w:lang w:val="ru-RU"/>
              </w:rPr>
              <w:t xml:space="preserve">не менее 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190 Вт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Проекционное расстояние </w:t>
            </w:r>
            <w:r>
              <w:rPr>
                <w:szCs w:val="20"/>
                <w:shd w:val="clear" w:color="auto" w:fill="FFFFFF"/>
                <w:lang w:val="ru-RU"/>
              </w:rPr>
              <w:t xml:space="preserve">от 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1 </w:t>
            </w:r>
            <w:r>
              <w:rPr>
                <w:szCs w:val="20"/>
                <w:shd w:val="clear" w:color="auto" w:fill="FFFFFF"/>
                <w:lang w:val="ru-RU"/>
              </w:rPr>
              <w:t>до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 11 м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Размеры по диагонали от 0.58 до 7.62 м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lastRenderedPageBreak/>
              <w:t xml:space="preserve">Частота кадров 24 - 120 Гц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Масштабирование оптическое 1.1x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Масштабирование цифровое 2x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Световой поток </w:t>
            </w:r>
            <w:r w:rsidR="002608A0">
              <w:rPr>
                <w:szCs w:val="20"/>
                <w:shd w:val="clear" w:color="auto" w:fill="FFFFFF"/>
                <w:lang w:val="ru-RU"/>
              </w:rPr>
              <w:t xml:space="preserve">не менее </w:t>
            </w:r>
            <w:r w:rsidRPr="005548A7">
              <w:rPr>
                <w:szCs w:val="20"/>
                <w:shd w:val="clear" w:color="auto" w:fill="FFFFFF"/>
                <w:lang w:val="ru-RU"/>
              </w:rPr>
              <w:t xml:space="preserve">3000 люмен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Коррекция </w:t>
            </w:r>
            <w:r w:rsidR="002608A0">
              <w:rPr>
                <w:szCs w:val="20"/>
                <w:shd w:val="clear" w:color="auto" w:fill="FFFFFF"/>
                <w:lang w:val="ru-RU"/>
              </w:rPr>
              <w:t>трапецеидальных искажений: вертикальная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Поддерживаемые системы вещания PAL, SECAM, NTSC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Поддерживаемые форматы входного сигнала 480i, 480p, 576i, 576p, 720p, 1080i </w:t>
            </w:r>
          </w:p>
          <w:p w:rsidR="005548A7" w:rsidRPr="005548A7" w:rsidRDefault="005548A7" w:rsidP="005548A7">
            <w:pPr>
              <w:tabs>
                <w:tab w:val="left" w:pos="1440"/>
              </w:tabs>
              <w:rPr>
                <w:szCs w:val="20"/>
                <w:shd w:val="clear" w:color="auto" w:fill="FFFFFF"/>
                <w:lang w:val="ru-RU"/>
              </w:rPr>
            </w:pPr>
            <w:r w:rsidRPr="005548A7">
              <w:rPr>
                <w:szCs w:val="20"/>
                <w:shd w:val="clear" w:color="auto" w:fill="FFFFFF"/>
                <w:lang w:val="ru-RU"/>
              </w:rPr>
              <w:t xml:space="preserve">Входы VGA, S-Video, композитный, компонентный </w:t>
            </w:r>
          </w:p>
          <w:p w:rsidR="00DB6417" w:rsidRPr="008C3E56" w:rsidRDefault="005548A7" w:rsidP="005548A7">
            <w:r w:rsidRPr="005548A7">
              <w:rPr>
                <w:szCs w:val="20"/>
                <w:shd w:val="clear" w:color="auto" w:fill="FFFFFF"/>
                <w:lang w:val="ru-RU"/>
              </w:rPr>
              <w:t xml:space="preserve">Интерфейсы USB (тип B) </w:t>
            </w:r>
          </w:p>
          <w:p w:rsidR="00DB6417" w:rsidRDefault="00DB6417" w:rsidP="002608A0">
            <w:pPr>
              <w:rPr>
                <w:lang w:val="ru-RU"/>
              </w:rPr>
            </w:pPr>
          </w:p>
        </w:tc>
        <w:tc>
          <w:tcPr>
            <w:tcW w:w="1845" w:type="dxa"/>
            <w:vAlign w:val="center"/>
          </w:tcPr>
          <w:p w:rsidR="00DB6417" w:rsidRDefault="00DB6417" w:rsidP="002608A0">
            <w:pPr>
              <w:jc w:val="center"/>
              <w:rPr>
                <w:lang w:val="ru-RU"/>
              </w:rPr>
            </w:pPr>
          </w:p>
        </w:tc>
      </w:tr>
      <w:tr w:rsidR="00DB6417" w:rsidRPr="005A316D" w:rsidTr="00A63AEB">
        <w:tc>
          <w:tcPr>
            <w:tcW w:w="393" w:type="dxa"/>
            <w:shd w:val="clear" w:color="auto" w:fill="FFFFFF"/>
          </w:tcPr>
          <w:p w:rsidR="00DB6417" w:rsidRPr="008C3E56" w:rsidRDefault="00DB6417" w:rsidP="002608A0">
            <w:r>
              <w:t>3</w:t>
            </w:r>
          </w:p>
        </w:tc>
        <w:tc>
          <w:tcPr>
            <w:tcW w:w="2128" w:type="dxa"/>
          </w:tcPr>
          <w:p w:rsidR="00DB6417" w:rsidRPr="00934171" w:rsidRDefault="00DB6417" w:rsidP="002608A0">
            <w:r>
              <w:rPr>
                <w:lang w:val="ru-RU"/>
              </w:rPr>
              <w:t xml:space="preserve">Ноутбук </w:t>
            </w:r>
          </w:p>
        </w:tc>
        <w:tc>
          <w:tcPr>
            <w:tcW w:w="4816" w:type="dxa"/>
          </w:tcPr>
          <w:p w:rsidR="007472E0" w:rsidRPr="007472E0" w:rsidRDefault="007472E0" w:rsidP="007472E0">
            <w:pPr>
              <w:rPr>
                <w:lang w:val="ru-RU"/>
              </w:rPr>
            </w:pPr>
            <w:r w:rsidRPr="007472E0">
              <w:rPr>
                <w:lang w:val="ru-RU"/>
              </w:rPr>
              <w:t>Тип процессора</w:t>
            </w:r>
            <w:r>
              <w:rPr>
                <w:lang w:val="ru-RU"/>
              </w:rPr>
              <w:t xml:space="preserve">: </w:t>
            </w:r>
            <w:r>
              <w:t>Celeron</w:t>
            </w:r>
            <w:r w:rsidRPr="00747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новее</w:t>
            </w:r>
          </w:p>
          <w:p w:rsidR="007472E0" w:rsidRPr="007472E0" w:rsidRDefault="007472E0" w:rsidP="007472E0">
            <w:pPr>
              <w:rPr>
                <w:lang w:val="ru-RU"/>
              </w:rPr>
            </w:pPr>
            <w:r>
              <w:rPr>
                <w:lang w:val="ru-RU"/>
              </w:rPr>
              <w:t xml:space="preserve">Объем памяти: не менее </w:t>
            </w:r>
            <w:r w:rsidRPr="007472E0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ГБ</w:t>
            </w:r>
          </w:p>
          <w:p w:rsidR="007472E0" w:rsidRPr="007472E0" w:rsidRDefault="007472E0" w:rsidP="007472E0">
            <w:pPr>
              <w:rPr>
                <w:lang w:val="ru-RU"/>
              </w:rPr>
            </w:pPr>
            <w:r w:rsidRPr="007472E0">
              <w:rPr>
                <w:lang w:val="ru-RU"/>
              </w:rPr>
              <w:t>Объем жесткого диска</w:t>
            </w:r>
            <w:r>
              <w:rPr>
                <w:lang w:val="ru-RU"/>
              </w:rPr>
              <w:t xml:space="preserve">: не менее </w:t>
            </w:r>
            <w:r w:rsidR="00E21D8D">
              <w:rPr>
                <w:lang w:val="ru-RU"/>
              </w:rPr>
              <w:t>5</w:t>
            </w:r>
            <w:r w:rsidRPr="007472E0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ГБ </w:t>
            </w:r>
          </w:p>
          <w:p w:rsidR="007472E0" w:rsidRPr="007472E0" w:rsidRDefault="007472E0" w:rsidP="007472E0">
            <w:pPr>
              <w:rPr>
                <w:lang w:val="ru-RU"/>
              </w:rPr>
            </w:pPr>
            <w:r w:rsidRPr="007472E0">
              <w:rPr>
                <w:lang w:val="ru-RU"/>
              </w:rPr>
              <w:t>Оптический дисковод</w:t>
            </w:r>
            <w:r>
              <w:rPr>
                <w:lang w:val="ru-RU"/>
              </w:rPr>
              <w:t>: есть</w:t>
            </w:r>
          </w:p>
          <w:p w:rsidR="007472E0" w:rsidRPr="007472E0" w:rsidRDefault="007472E0" w:rsidP="007472E0">
            <w:pPr>
              <w:rPr>
                <w:lang w:val="ru-RU"/>
              </w:rPr>
            </w:pPr>
            <w:r w:rsidRPr="007472E0">
              <w:rPr>
                <w:lang w:val="ru-RU"/>
              </w:rPr>
              <w:t>Видео карта</w:t>
            </w:r>
            <w:r>
              <w:rPr>
                <w:lang w:val="ru-RU"/>
              </w:rPr>
              <w:t>: есть</w:t>
            </w:r>
          </w:p>
          <w:p w:rsidR="007472E0" w:rsidRPr="00E21D8D" w:rsidRDefault="00E21D8D" w:rsidP="00E21D8D">
            <w:pPr>
              <w:rPr>
                <w:lang w:val="ru-RU"/>
              </w:rPr>
            </w:pPr>
            <w:r w:rsidRPr="00E21D8D">
              <w:rPr>
                <w:lang w:val="ru-RU"/>
              </w:rPr>
              <w:t>Беспроводная связь</w:t>
            </w:r>
            <w:r>
              <w:rPr>
                <w:lang w:val="ru-RU"/>
              </w:rPr>
              <w:t xml:space="preserve">: </w:t>
            </w:r>
            <w:r>
              <w:t>Wi</w:t>
            </w:r>
            <w:r w:rsidRPr="00E21D8D">
              <w:rPr>
                <w:lang w:val="ru-RU"/>
              </w:rPr>
              <w:t>-</w:t>
            </w:r>
            <w:r>
              <w:t>Fi</w:t>
            </w:r>
            <w:r>
              <w:rPr>
                <w:lang w:val="ru-RU"/>
              </w:rPr>
              <w:t xml:space="preserve">, </w:t>
            </w:r>
            <w:r>
              <w:t>Bluetooth</w:t>
            </w:r>
          </w:p>
          <w:p w:rsidR="007472E0" w:rsidRPr="007472E0" w:rsidRDefault="007472E0" w:rsidP="007472E0">
            <w:pPr>
              <w:rPr>
                <w:lang w:val="ru-RU"/>
              </w:rPr>
            </w:pPr>
            <w:r w:rsidRPr="007472E0">
              <w:rPr>
                <w:lang w:val="ru-RU"/>
              </w:rPr>
              <w:t>Разрешение экрана</w:t>
            </w:r>
            <w:r w:rsidR="00E21D8D">
              <w:rPr>
                <w:lang w:val="ru-RU"/>
              </w:rPr>
              <w:t xml:space="preserve">: не менее </w:t>
            </w:r>
            <w:r w:rsidRPr="007472E0">
              <w:rPr>
                <w:lang w:val="ru-RU"/>
              </w:rPr>
              <w:t xml:space="preserve">1366 </w:t>
            </w:r>
            <w:r>
              <w:t>x</w:t>
            </w:r>
            <w:r w:rsidRPr="007472E0">
              <w:rPr>
                <w:lang w:val="ru-RU"/>
              </w:rPr>
              <w:t xml:space="preserve"> 768</w:t>
            </w:r>
          </w:p>
          <w:p w:rsidR="007472E0" w:rsidRPr="007472E0" w:rsidRDefault="007472E0" w:rsidP="007472E0">
            <w:pPr>
              <w:rPr>
                <w:lang w:val="ru-RU"/>
              </w:rPr>
            </w:pPr>
            <w:r w:rsidRPr="007472E0">
              <w:rPr>
                <w:lang w:val="ru-RU"/>
              </w:rPr>
              <w:t>Диагональ экрана</w:t>
            </w:r>
            <w:r w:rsidR="00E21D8D">
              <w:rPr>
                <w:lang w:val="ru-RU"/>
              </w:rPr>
              <w:t xml:space="preserve">: не менее </w:t>
            </w:r>
            <w:r w:rsidRPr="007472E0">
              <w:rPr>
                <w:lang w:val="ru-RU"/>
              </w:rPr>
              <w:t>15.6</w:t>
            </w:r>
            <w:r w:rsidR="00E21D8D" w:rsidRPr="007472E0">
              <w:rPr>
                <w:lang w:val="ru-RU"/>
              </w:rPr>
              <w:t xml:space="preserve"> </w:t>
            </w:r>
            <w:r w:rsidR="00E21D8D">
              <w:rPr>
                <w:lang w:val="ru-RU"/>
              </w:rPr>
              <w:t>дюймов</w:t>
            </w:r>
          </w:p>
          <w:p w:rsidR="00DB6417" w:rsidRPr="00E21D8D" w:rsidRDefault="007472E0" w:rsidP="007472E0">
            <w:pPr>
              <w:rPr>
                <w:lang w:val="ru-RU"/>
              </w:rPr>
            </w:pPr>
            <w:r>
              <w:t>WEB</w:t>
            </w:r>
            <w:r w:rsidRPr="007472E0">
              <w:rPr>
                <w:lang w:val="ru-RU"/>
              </w:rPr>
              <w:t>-камер</w:t>
            </w:r>
            <w:r w:rsidR="00E21D8D">
              <w:rPr>
                <w:lang w:val="ru-RU"/>
              </w:rPr>
              <w:t>а:</w:t>
            </w:r>
            <w:r w:rsidRPr="007472E0">
              <w:rPr>
                <w:lang w:val="ru-RU"/>
              </w:rPr>
              <w:tab/>
              <w:t>есть</w:t>
            </w:r>
          </w:p>
        </w:tc>
        <w:tc>
          <w:tcPr>
            <w:tcW w:w="1845" w:type="dxa"/>
            <w:vAlign w:val="center"/>
          </w:tcPr>
          <w:p w:rsidR="00DB6417" w:rsidRPr="00014247" w:rsidRDefault="00DB6417" w:rsidP="002608A0">
            <w:pPr>
              <w:jc w:val="center"/>
              <w:rPr>
                <w:lang w:val="ru-RU"/>
              </w:rPr>
            </w:pPr>
          </w:p>
        </w:tc>
      </w:tr>
      <w:tr w:rsidR="00DB6417" w:rsidRPr="005A316D" w:rsidTr="00A63AEB">
        <w:tc>
          <w:tcPr>
            <w:tcW w:w="393" w:type="dxa"/>
            <w:shd w:val="clear" w:color="auto" w:fill="FFFFFF"/>
          </w:tcPr>
          <w:p w:rsidR="00DB6417" w:rsidRDefault="00DB6417" w:rsidP="002608A0">
            <w:r>
              <w:t>4</w:t>
            </w:r>
          </w:p>
        </w:tc>
        <w:tc>
          <w:tcPr>
            <w:tcW w:w="2128" w:type="dxa"/>
          </w:tcPr>
          <w:p w:rsidR="00DB6417" w:rsidRPr="009D3EAC" w:rsidRDefault="00DB6417" w:rsidP="002608A0">
            <w:pPr>
              <w:rPr>
                <w:lang w:val="ru-RU"/>
              </w:rPr>
            </w:pPr>
            <w:r>
              <w:rPr>
                <w:lang w:val="ru-RU"/>
              </w:rPr>
              <w:t>Крепление для проектора</w:t>
            </w:r>
          </w:p>
        </w:tc>
        <w:tc>
          <w:tcPr>
            <w:tcW w:w="4816" w:type="dxa"/>
          </w:tcPr>
          <w:p w:rsidR="00DB6417" w:rsidRPr="00014247" w:rsidRDefault="00DB6417" w:rsidP="002608A0">
            <w:pPr>
              <w:rPr>
                <w:lang w:val="ru-RU"/>
              </w:rPr>
            </w:pPr>
            <w:r w:rsidRPr="00014247">
              <w:rPr>
                <w:szCs w:val="20"/>
                <w:shd w:val="clear" w:color="auto" w:fill="FFFFFF"/>
                <w:lang w:val="ru-RU"/>
              </w:rPr>
              <w:t>Позволяет установить проектор на потолке, на нужном расстоянии от интерактивной доски или экрана. Легко собирается и крепится к потолку. Крепление универсальное, подходит к любому длиннофокусному проектору</w:t>
            </w:r>
          </w:p>
        </w:tc>
        <w:tc>
          <w:tcPr>
            <w:tcW w:w="1845" w:type="dxa"/>
            <w:vAlign w:val="center"/>
          </w:tcPr>
          <w:p w:rsidR="00DB6417" w:rsidRDefault="00DB6417" w:rsidP="002608A0">
            <w:pPr>
              <w:jc w:val="center"/>
              <w:rPr>
                <w:lang w:val="ru-RU"/>
              </w:rPr>
            </w:pPr>
          </w:p>
        </w:tc>
      </w:tr>
    </w:tbl>
    <w:p w:rsidR="00DB6417" w:rsidRPr="00954544" w:rsidRDefault="00DB6417" w:rsidP="00DB6417">
      <w:pPr>
        <w:rPr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3536A9">
        <w:rPr>
          <w:lang w:val="ru-RU"/>
        </w:rPr>
        <w:t>3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E21D8D" w:rsidRDefault="00E21D8D" w:rsidP="00071356">
      <w:pPr>
        <w:ind w:left="426"/>
        <w:rPr>
          <w:lang w:val="ru-RU"/>
        </w:rPr>
      </w:pPr>
    </w:p>
    <w:p w:rsidR="00A63AEB" w:rsidRPr="00B3568C" w:rsidRDefault="00A63AEB" w:rsidP="00071356">
      <w:pPr>
        <w:ind w:left="426"/>
        <w:rPr>
          <w:lang w:val="ru-RU"/>
        </w:rPr>
      </w:pPr>
      <w:r>
        <w:rPr>
          <w:lang w:val="ru-RU"/>
        </w:rPr>
        <w:t>МП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8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3C" w:rsidRDefault="00175D3C">
      <w:r>
        <w:separator/>
      </w:r>
    </w:p>
  </w:endnote>
  <w:endnote w:type="continuationSeparator" w:id="0">
    <w:p w:rsidR="00175D3C" w:rsidRDefault="0017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3C" w:rsidRDefault="00175D3C">
      <w:r>
        <w:separator/>
      </w:r>
    </w:p>
  </w:footnote>
  <w:footnote w:type="continuationSeparator" w:id="0">
    <w:p w:rsidR="00175D3C" w:rsidRDefault="0017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A0" w:rsidRDefault="002608A0">
    <w:pPr>
      <w:pStyle w:val="a6"/>
      <w:tabs>
        <w:tab w:val="right" w:pos="9090"/>
      </w:tabs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102</w:t>
    </w:r>
    <w:r>
      <w:rPr>
        <w:rStyle w:val="ae"/>
      </w:rPr>
      <w:fldChar w:fldCharType="end"/>
    </w:r>
    <w:r>
      <w:rPr>
        <w:rStyle w:val="ae"/>
      </w:rPr>
      <w:tab/>
      <w:t>Invitation for Bids</w:t>
    </w:r>
  </w:p>
  <w:p w:rsidR="002608A0" w:rsidRDefault="00260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7AA2790"/>
    <w:multiLevelType w:val="hybridMultilevel"/>
    <w:tmpl w:val="E226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7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2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31"/>
  </w:num>
  <w:num w:numId="5">
    <w:abstractNumId w:val="27"/>
  </w:num>
  <w:num w:numId="6">
    <w:abstractNumId w:val="21"/>
  </w:num>
  <w:num w:numId="7">
    <w:abstractNumId w:val="32"/>
  </w:num>
  <w:num w:numId="8">
    <w:abstractNumId w:val="14"/>
  </w:num>
  <w:num w:numId="9">
    <w:abstractNumId w:val="6"/>
  </w:num>
  <w:num w:numId="10">
    <w:abstractNumId w:val="26"/>
  </w:num>
  <w:num w:numId="11">
    <w:abstractNumId w:val="11"/>
  </w:num>
  <w:num w:numId="12">
    <w:abstractNumId w:val="10"/>
  </w:num>
  <w:num w:numId="13">
    <w:abstractNumId w:val="17"/>
  </w:num>
  <w:num w:numId="14">
    <w:abstractNumId w:val="4"/>
  </w:num>
  <w:num w:numId="15">
    <w:abstractNumId w:val="2"/>
  </w:num>
  <w:num w:numId="16">
    <w:abstractNumId w:val="24"/>
  </w:num>
  <w:num w:numId="17">
    <w:abstractNumId w:val="30"/>
  </w:num>
  <w:num w:numId="18">
    <w:abstractNumId w:val="29"/>
  </w:num>
  <w:num w:numId="19">
    <w:abstractNumId w:val="28"/>
  </w:num>
  <w:num w:numId="20">
    <w:abstractNumId w:val="8"/>
  </w:num>
  <w:num w:numId="21">
    <w:abstractNumId w:val="3"/>
  </w:num>
  <w:num w:numId="22">
    <w:abstractNumId w:val="20"/>
  </w:num>
  <w:num w:numId="23">
    <w:abstractNumId w:val="16"/>
  </w:num>
  <w:num w:numId="24">
    <w:abstractNumId w:val="12"/>
  </w:num>
  <w:num w:numId="25">
    <w:abstractNumId w:val="0"/>
  </w:num>
  <w:num w:numId="26">
    <w:abstractNumId w:val="5"/>
  </w:num>
  <w:num w:numId="27">
    <w:abstractNumId w:val="33"/>
  </w:num>
  <w:num w:numId="28">
    <w:abstractNumId w:val="9"/>
  </w:num>
  <w:num w:numId="29">
    <w:abstractNumId w:val="22"/>
  </w:num>
  <w:num w:numId="30">
    <w:abstractNumId w:val="13"/>
  </w:num>
  <w:num w:numId="31">
    <w:abstractNumId w:val="19"/>
  </w:num>
  <w:num w:numId="32">
    <w:abstractNumId w:val="7"/>
  </w:num>
  <w:num w:numId="33">
    <w:abstractNumId w:val="18"/>
  </w:num>
  <w:num w:numId="3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3066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47DD1"/>
    <w:rsid w:val="00071356"/>
    <w:rsid w:val="00073437"/>
    <w:rsid w:val="00077590"/>
    <w:rsid w:val="00082B67"/>
    <w:rsid w:val="00085574"/>
    <w:rsid w:val="000A0891"/>
    <w:rsid w:val="000A5B1C"/>
    <w:rsid w:val="000A7AC4"/>
    <w:rsid w:val="000B44C2"/>
    <w:rsid w:val="000C1239"/>
    <w:rsid w:val="000C130A"/>
    <w:rsid w:val="000D53A0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75D3C"/>
    <w:rsid w:val="00180F55"/>
    <w:rsid w:val="00181D6F"/>
    <w:rsid w:val="0018678D"/>
    <w:rsid w:val="00186C54"/>
    <w:rsid w:val="00192FE4"/>
    <w:rsid w:val="001943CA"/>
    <w:rsid w:val="001A183B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5103A"/>
    <w:rsid w:val="00251A14"/>
    <w:rsid w:val="0025457A"/>
    <w:rsid w:val="00256DF0"/>
    <w:rsid w:val="002608A0"/>
    <w:rsid w:val="00264AD4"/>
    <w:rsid w:val="00270545"/>
    <w:rsid w:val="00272CF3"/>
    <w:rsid w:val="00276FA9"/>
    <w:rsid w:val="002807F5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0071C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1F5C"/>
    <w:rsid w:val="003A2C9F"/>
    <w:rsid w:val="003A6FC6"/>
    <w:rsid w:val="003C3105"/>
    <w:rsid w:val="003C68ED"/>
    <w:rsid w:val="003D10DF"/>
    <w:rsid w:val="003D164F"/>
    <w:rsid w:val="003D5290"/>
    <w:rsid w:val="003E1763"/>
    <w:rsid w:val="003E7CEA"/>
    <w:rsid w:val="003F47B3"/>
    <w:rsid w:val="003F54B3"/>
    <w:rsid w:val="004211C8"/>
    <w:rsid w:val="00421804"/>
    <w:rsid w:val="00421E57"/>
    <w:rsid w:val="004231ED"/>
    <w:rsid w:val="00424B7C"/>
    <w:rsid w:val="00425F2D"/>
    <w:rsid w:val="00426B0A"/>
    <w:rsid w:val="004271E4"/>
    <w:rsid w:val="00430B41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C6FE8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48A7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A316D"/>
    <w:rsid w:val="005B50E3"/>
    <w:rsid w:val="005B57C9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32BE6"/>
    <w:rsid w:val="00640AE5"/>
    <w:rsid w:val="006465B8"/>
    <w:rsid w:val="0065217C"/>
    <w:rsid w:val="006576D4"/>
    <w:rsid w:val="006578D0"/>
    <w:rsid w:val="006605C1"/>
    <w:rsid w:val="00661ABF"/>
    <w:rsid w:val="00662CE3"/>
    <w:rsid w:val="006672D8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4189"/>
    <w:rsid w:val="006E72AE"/>
    <w:rsid w:val="00703D2D"/>
    <w:rsid w:val="00707DA6"/>
    <w:rsid w:val="007114A7"/>
    <w:rsid w:val="007146D7"/>
    <w:rsid w:val="00714D84"/>
    <w:rsid w:val="007162B4"/>
    <w:rsid w:val="00716B7B"/>
    <w:rsid w:val="00721A3B"/>
    <w:rsid w:val="00725E25"/>
    <w:rsid w:val="0072780B"/>
    <w:rsid w:val="007309F3"/>
    <w:rsid w:val="00731312"/>
    <w:rsid w:val="00731665"/>
    <w:rsid w:val="00734708"/>
    <w:rsid w:val="00736138"/>
    <w:rsid w:val="00741F6D"/>
    <w:rsid w:val="007472E0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3012"/>
    <w:rsid w:val="0086444D"/>
    <w:rsid w:val="0087508D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4171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3AE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AF6D79"/>
    <w:rsid w:val="00B02723"/>
    <w:rsid w:val="00B14263"/>
    <w:rsid w:val="00B15519"/>
    <w:rsid w:val="00B16A06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3251"/>
    <w:rsid w:val="00BB067F"/>
    <w:rsid w:val="00BB0827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15D46"/>
    <w:rsid w:val="00C27225"/>
    <w:rsid w:val="00C328AE"/>
    <w:rsid w:val="00C32C19"/>
    <w:rsid w:val="00C333CA"/>
    <w:rsid w:val="00C36DF8"/>
    <w:rsid w:val="00C4260A"/>
    <w:rsid w:val="00C524E1"/>
    <w:rsid w:val="00C52AD1"/>
    <w:rsid w:val="00C57A9E"/>
    <w:rsid w:val="00C634CD"/>
    <w:rsid w:val="00C779DC"/>
    <w:rsid w:val="00C8093B"/>
    <w:rsid w:val="00C86131"/>
    <w:rsid w:val="00C8746E"/>
    <w:rsid w:val="00C87D11"/>
    <w:rsid w:val="00C908B6"/>
    <w:rsid w:val="00C91BEE"/>
    <w:rsid w:val="00C9385D"/>
    <w:rsid w:val="00C97360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1A52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0FDD"/>
    <w:rsid w:val="00D765CD"/>
    <w:rsid w:val="00D7729F"/>
    <w:rsid w:val="00D87E21"/>
    <w:rsid w:val="00DA09D4"/>
    <w:rsid w:val="00DA5911"/>
    <w:rsid w:val="00DB5E78"/>
    <w:rsid w:val="00DB6417"/>
    <w:rsid w:val="00DC580A"/>
    <w:rsid w:val="00DC7195"/>
    <w:rsid w:val="00DE25F3"/>
    <w:rsid w:val="00DF074B"/>
    <w:rsid w:val="00E11E01"/>
    <w:rsid w:val="00E13138"/>
    <w:rsid w:val="00E14BD1"/>
    <w:rsid w:val="00E21D8D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75DEE"/>
    <w:rsid w:val="00E87E5B"/>
    <w:rsid w:val="00E90567"/>
    <w:rsid w:val="00E935D3"/>
    <w:rsid w:val="00E93B48"/>
    <w:rsid w:val="00E94A30"/>
    <w:rsid w:val="00EA6C6C"/>
    <w:rsid w:val="00EB31EF"/>
    <w:rsid w:val="00EC15AF"/>
    <w:rsid w:val="00EC4D38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07AD2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75B65"/>
    <w:rsid w:val="00F84259"/>
    <w:rsid w:val="00F85512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26DA8D-A459-4723-A8CA-5B7BF27B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21A4-FBB8-4570-8686-BB338800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9283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6</cp:revision>
  <cp:lastPrinted>2013-02-18T04:22:00Z</cp:lastPrinted>
  <dcterms:created xsi:type="dcterms:W3CDTF">2017-07-24T03:46:00Z</dcterms:created>
  <dcterms:modified xsi:type="dcterms:W3CDTF">2017-07-26T06:31:00Z</dcterms:modified>
</cp:coreProperties>
</file>