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882E04">
        <w:rPr>
          <w:lang w:val="ru-RU"/>
        </w:rPr>
        <w:t>11.07</w:t>
      </w:r>
      <w:r w:rsidR="005F0652">
        <w:rPr>
          <w:lang w:val="ru-RU"/>
        </w:rPr>
        <w:t>.2016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A52B09">
        <w:rPr>
          <w:spacing w:val="-3"/>
          <w:lang w:val="ru-RU"/>
        </w:rPr>
        <w:t>товаров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</w:t>
      </w:r>
      <w:r w:rsidR="00882E04">
        <w:rPr>
          <w:spacing w:val="-3"/>
          <w:lang w:val="ru-RU"/>
        </w:rPr>
        <w:t>6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</w:t>
      </w:r>
      <w:r w:rsidR="00882E04">
        <w:rPr>
          <w:spacing w:val="-3"/>
          <w:lang w:val="ru-RU"/>
        </w:rPr>
        <w:t>2</w:t>
      </w:r>
      <w:r w:rsidR="001B5666" w:rsidRPr="001B5666">
        <w:rPr>
          <w:spacing w:val="-3"/>
          <w:lang w:val="ru-RU"/>
        </w:rPr>
        <w:t>/</w:t>
      </w:r>
      <w:r w:rsidR="009166C9">
        <w:rPr>
          <w:spacing w:val="-3"/>
          <w:lang w:val="ru-RU"/>
        </w:rPr>
        <w:t>4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подписавшего:_</w:t>
      </w:r>
      <w:proofErr w:type="gramEnd"/>
      <w:r w:rsidRPr="001B5666">
        <w:rPr>
          <w:spacing w:val="-3"/>
          <w:lang w:val="ru-RU"/>
        </w:rPr>
        <w:t>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</w:t>
      </w:r>
      <w:r w:rsidR="00882E04">
        <w:rPr>
          <w:b/>
          <w:bCs/>
          <w:lang w:val="ru-RU"/>
        </w:rPr>
        <w:t>6</w:t>
      </w:r>
      <w:r w:rsidR="00F92141">
        <w:rPr>
          <w:b/>
          <w:bCs/>
        </w:rPr>
        <w:t>-G-</w:t>
      </w:r>
      <w:r w:rsidR="00882E04">
        <w:rPr>
          <w:b/>
          <w:bCs/>
          <w:lang w:val="ru-RU"/>
        </w:rPr>
        <w:t>2</w:t>
      </w:r>
      <w:r w:rsidR="001B5666">
        <w:rPr>
          <w:b/>
          <w:bCs/>
          <w:lang w:val="ru-RU"/>
        </w:rPr>
        <w:t>/</w:t>
      </w:r>
      <w:r w:rsidR="009166C9">
        <w:rPr>
          <w:b/>
          <w:bCs/>
          <w:lang w:val="ru-RU"/>
        </w:rPr>
        <w:t>4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7135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071356">
              <w:rPr>
                <w:sz w:val="20"/>
                <w:szCs w:val="20"/>
                <w:lang w:val="ru-RU"/>
              </w:rPr>
              <w:t>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882E04" w:rsidRPr="00A52B09" w:rsidRDefault="009166C9" w:rsidP="00882E04">
            <w:pPr>
              <w:rPr>
                <w:lang w:val="ru-RU"/>
              </w:rPr>
            </w:pPr>
            <w:r>
              <w:rPr>
                <w:lang w:val="ru-RU"/>
              </w:rPr>
              <w:t>Полиэтиленовые трубы</w:t>
            </w:r>
          </w:p>
        </w:tc>
        <w:tc>
          <w:tcPr>
            <w:tcW w:w="1392" w:type="dxa"/>
          </w:tcPr>
          <w:p w:rsidR="00882E04" w:rsidRPr="00071356" w:rsidRDefault="009166C9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350 метров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 xml:space="preserve">{Примечание: </w:t>
      </w:r>
      <w:proofErr w:type="gramStart"/>
      <w:r w:rsidRPr="00071356">
        <w:rPr>
          <w:bCs/>
          <w:sz w:val="16"/>
          <w:lang w:val="ru-RU"/>
        </w:rPr>
        <w:t>В</w:t>
      </w:r>
      <w:proofErr w:type="gramEnd"/>
      <w:r w:rsidRPr="00071356">
        <w:rPr>
          <w:bCs/>
          <w:sz w:val="16"/>
          <w:lang w:val="ru-RU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D46423" w:rsidRPr="00071356" w:rsidRDefault="00501892" w:rsidP="005F0652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5018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7. </w:t>
      </w:r>
      <w:r w:rsidR="004510DA" w:rsidRPr="00B14263">
        <w:rPr>
          <w:u w:val="single"/>
          <w:lang w:val="ru-RU"/>
        </w:rPr>
        <w:t>Поставка товаров.</w:t>
      </w:r>
      <w:r w:rsidR="004510DA" w:rsidRPr="004642B7">
        <w:rPr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4642B7">
        <w:rPr>
          <w:lang w:val="ru-RU"/>
        </w:rPr>
        <w:t>.</w:t>
      </w:r>
      <w:r w:rsidR="00882E04">
        <w:rPr>
          <w:lang w:val="ru-RU"/>
        </w:rPr>
        <w:t xml:space="preserve"> 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82E04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8. </w:t>
      </w:r>
      <w:r w:rsidRPr="00B14263">
        <w:rPr>
          <w:u w:val="single"/>
          <w:lang w:val="ru-RU"/>
        </w:rPr>
        <w:t>Документация</w:t>
      </w:r>
      <w:r w:rsidRPr="00071356">
        <w:rPr>
          <w:b/>
          <w:u w:val="single"/>
          <w:lang w:val="ru-RU"/>
        </w:rPr>
        <w:t>:</w:t>
      </w:r>
      <w:r>
        <w:rPr>
          <w:b/>
          <w:lang w:val="ru-RU"/>
        </w:rPr>
        <w:t xml:space="preserve"> </w:t>
      </w:r>
      <w:r w:rsidRPr="00882E04">
        <w:rPr>
          <w:lang w:val="ru-RU"/>
        </w:rPr>
        <w:t>Передача товара осуществляется</w:t>
      </w:r>
      <w:r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B16A06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  <w:r w:rsidR="004642B7">
        <w:rPr>
          <w:bCs/>
          <w:lang w:val="ru-RU"/>
        </w:rPr>
        <w:t xml:space="preserve">Оплата будет производиться безналичным платежом.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B16A06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10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1</w:t>
      </w:r>
      <w:r>
        <w:rPr>
          <w:lang w:val="ru-RU"/>
        </w:rPr>
        <w:t xml:space="preserve">. </w:t>
      </w:r>
      <w:r w:rsidR="009712C9" w:rsidRPr="00B14263">
        <w:rPr>
          <w:u w:val="single"/>
          <w:lang w:val="ru-RU"/>
        </w:rPr>
        <w:t>Дефекты:</w:t>
      </w:r>
      <w:r w:rsidR="009712C9" w:rsidRPr="004642B7">
        <w:rPr>
          <w:lang w:val="ru-RU"/>
        </w:rPr>
        <w:t xml:space="preserve">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4642B7">
        <w:rPr>
          <w:lang w:val="ru-RU"/>
        </w:rPr>
        <w:t>2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4642B7">
        <w:rPr>
          <w:u w:val="single"/>
          <w:lang w:val="ru-RU"/>
        </w:rPr>
        <w:t>3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</w:t>
            </w:r>
            <w:r w:rsidR="000A5B1C">
              <w:rPr>
                <w:b/>
                <w:lang w:val="ru-RU"/>
              </w:rPr>
              <w:lastRenderedPageBreak/>
              <w:t>соответствие)</w:t>
            </w:r>
          </w:p>
        </w:tc>
      </w:tr>
      <w:tr w:rsidR="001305AE" w:rsidRPr="009166C9" w:rsidTr="000A5B1C">
        <w:tc>
          <w:tcPr>
            <w:tcW w:w="392" w:type="dxa"/>
            <w:shd w:val="clear" w:color="auto" w:fill="FFFFFF"/>
          </w:tcPr>
          <w:p w:rsidR="001305AE" w:rsidRPr="00082B67" w:rsidRDefault="001305AE" w:rsidP="001305A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1305AE" w:rsidRPr="00A52B09" w:rsidRDefault="009166C9" w:rsidP="006042DB">
            <w:pPr>
              <w:rPr>
                <w:lang w:val="ru-RU"/>
              </w:rPr>
            </w:pPr>
            <w:r>
              <w:rPr>
                <w:lang w:val="ru-RU"/>
              </w:rPr>
              <w:t>Полиэтиленовые трубы</w:t>
            </w:r>
          </w:p>
        </w:tc>
        <w:tc>
          <w:tcPr>
            <w:tcW w:w="4678" w:type="dxa"/>
          </w:tcPr>
          <w:p w:rsidR="00BF6295" w:rsidRDefault="009166C9" w:rsidP="001305AE">
            <w:pPr>
              <w:rPr>
                <w:lang w:val="ru-RU"/>
              </w:rPr>
            </w:pPr>
            <w:r>
              <w:rPr>
                <w:lang w:val="ru-RU"/>
              </w:rPr>
              <w:t>Материал:</w:t>
            </w:r>
            <w:r w:rsidRPr="009A147E">
              <w:rPr>
                <w:lang w:val="ru-RU"/>
              </w:rPr>
              <w:t xml:space="preserve"> </w:t>
            </w:r>
            <w:r w:rsidRPr="009166C9">
              <w:rPr>
                <w:lang w:val="ru-RU"/>
              </w:rPr>
              <w:t>Полиэтилен низкого давления</w:t>
            </w:r>
          </w:p>
          <w:p w:rsidR="009166C9" w:rsidRDefault="009166C9" w:rsidP="001305AE">
            <w:pPr>
              <w:rPr>
                <w:lang w:val="ru-RU"/>
              </w:rPr>
            </w:pPr>
            <w:r>
              <w:rPr>
                <w:lang w:val="ru-RU"/>
              </w:rPr>
              <w:t xml:space="preserve">Диаметр: </w:t>
            </w:r>
            <w:r w:rsidR="009A147E">
              <w:rPr>
                <w:lang w:val="ru-RU"/>
              </w:rPr>
              <w:t xml:space="preserve">минимум </w:t>
            </w:r>
            <w:r>
              <w:rPr>
                <w:lang w:val="ru-RU"/>
              </w:rPr>
              <w:t>75 мм</w:t>
            </w:r>
          </w:p>
          <w:p w:rsidR="009166C9" w:rsidRPr="00181889" w:rsidRDefault="009166C9" w:rsidP="001305AE">
            <w:pPr>
              <w:rPr>
                <w:lang w:val="ru-RU"/>
              </w:rPr>
            </w:pPr>
            <w:r>
              <w:rPr>
                <w:lang w:val="ru-RU"/>
              </w:rPr>
              <w:t>Толщина стенки трубы: минимум 4,2 мм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305AE" w:rsidRPr="00EE0D8D" w:rsidRDefault="001305AE" w:rsidP="001305AE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0A5B1C" w:rsidRPr="00954544" w:rsidRDefault="000A5B1C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4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22" w:rsidRDefault="00994A22">
      <w:r>
        <w:separator/>
      </w:r>
    </w:p>
  </w:endnote>
  <w:endnote w:type="continuationSeparator" w:id="0">
    <w:p w:rsidR="00994A22" w:rsidRDefault="0099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22" w:rsidRDefault="00994A22">
      <w:r>
        <w:separator/>
      </w:r>
    </w:p>
  </w:footnote>
  <w:footnote w:type="continuationSeparator" w:id="0">
    <w:p w:rsidR="00994A22" w:rsidRDefault="0099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1E83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238F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05AE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889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2833"/>
    <w:rsid w:val="0025457A"/>
    <w:rsid w:val="00256DF0"/>
    <w:rsid w:val="00264AD4"/>
    <w:rsid w:val="00270545"/>
    <w:rsid w:val="00272CF3"/>
    <w:rsid w:val="00276FA9"/>
    <w:rsid w:val="002807F5"/>
    <w:rsid w:val="002829F4"/>
    <w:rsid w:val="002844EF"/>
    <w:rsid w:val="002858F9"/>
    <w:rsid w:val="00286DB2"/>
    <w:rsid w:val="00287ACB"/>
    <w:rsid w:val="002A6EC3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14FB"/>
    <w:rsid w:val="003E7CEA"/>
    <w:rsid w:val="003F101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3EB8"/>
    <w:rsid w:val="004642B7"/>
    <w:rsid w:val="0046462F"/>
    <w:rsid w:val="00464B42"/>
    <w:rsid w:val="00466E02"/>
    <w:rsid w:val="0046796A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415C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2DA8"/>
    <w:rsid w:val="005F468D"/>
    <w:rsid w:val="00600201"/>
    <w:rsid w:val="006028B6"/>
    <w:rsid w:val="006042DB"/>
    <w:rsid w:val="0060494A"/>
    <w:rsid w:val="006050C3"/>
    <w:rsid w:val="006112A8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651FF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166C9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4A22"/>
    <w:rsid w:val="00995964"/>
    <w:rsid w:val="009A147E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2B09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087B"/>
    <w:rsid w:val="00AF3881"/>
    <w:rsid w:val="00AF6D27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BF6295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4614A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0EB4"/>
    <w:rsid w:val="00ED1E18"/>
    <w:rsid w:val="00ED1EC9"/>
    <w:rsid w:val="00ED76AA"/>
    <w:rsid w:val="00ED7F08"/>
    <w:rsid w:val="00EE0D8D"/>
    <w:rsid w:val="00EE1686"/>
    <w:rsid w:val="00EE5655"/>
    <w:rsid w:val="00EF3255"/>
    <w:rsid w:val="00EF59A1"/>
    <w:rsid w:val="00F05F21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6382E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7266-A49D-46CF-A4EE-F795369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6262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42</cp:revision>
  <cp:lastPrinted>2013-02-18T04:22:00Z</cp:lastPrinted>
  <dcterms:created xsi:type="dcterms:W3CDTF">2014-10-29T10:18:00Z</dcterms:created>
  <dcterms:modified xsi:type="dcterms:W3CDTF">2016-06-27T11:38:00Z</dcterms:modified>
</cp:coreProperties>
</file>