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A52B09">
        <w:rPr>
          <w:spacing w:val="-3"/>
          <w:lang w:val="ru-RU"/>
        </w:rPr>
        <w:t>товаров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</w:t>
      </w:r>
      <w:r w:rsidR="00A52B09">
        <w:rPr>
          <w:spacing w:val="-3"/>
          <w:lang w:val="ru-RU"/>
        </w:rPr>
        <w:t>3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</w:t>
      </w:r>
      <w:r w:rsidR="00876161">
        <w:rPr>
          <w:spacing w:val="-3"/>
          <w:lang w:val="ru-RU"/>
        </w:rPr>
        <w:t xml:space="preserve"> </w:t>
      </w:r>
      <w:r w:rsidR="00882E04">
        <w:rPr>
          <w:spacing w:val="-3"/>
          <w:lang w:val="ru-RU"/>
        </w:rPr>
        <w:t>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</w:t>
      </w:r>
      <w:r w:rsidR="00A52B09">
        <w:rPr>
          <w:b/>
          <w:bCs/>
          <w:lang w:val="ru-RU"/>
        </w:rPr>
        <w:t>3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882E04" w:rsidRPr="00A52B09" w:rsidRDefault="00A52B09" w:rsidP="00882E04">
            <w:pPr>
              <w:rPr>
                <w:lang w:val="ru-RU"/>
              </w:rPr>
            </w:pPr>
            <w:r>
              <w:rPr>
                <w:lang w:val="ru-RU"/>
              </w:rPr>
              <w:t>Светильник уличного освещения</w:t>
            </w:r>
            <w:r w:rsidR="007160ED">
              <w:rPr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882E04" w:rsidRPr="00071356" w:rsidRDefault="00A52B09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A52B09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882E04" w:rsidRPr="00252833" w:rsidRDefault="007160ED" w:rsidP="00A52B09">
            <w:pPr>
              <w:rPr>
                <w:lang w:val="ru-RU"/>
              </w:rPr>
            </w:pPr>
            <w:r>
              <w:rPr>
                <w:lang w:val="ru-RU"/>
              </w:rPr>
              <w:t>Автоматический выключатель</w:t>
            </w:r>
            <w:r w:rsidRPr="00A52B09">
              <w:rPr>
                <w:lang w:val="ru-RU"/>
              </w:rPr>
              <w:t xml:space="preserve"> 1-ф, 63 А</w:t>
            </w:r>
          </w:p>
        </w:tc>
        <w:tc>
          <w:tcPr>
            <w:tcW w:w="1392" w:type="dxa"/>
          </w:tcPr>
          <w:p w:rsidR="00882E04" w:rsidRDefault="00A52B09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7160ED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882E04" w:rsidRPr="00252833" w:rsidRDefault="00A52B09" w:rsidP="00882E04">
            <w:pPr>
              <w:rPr>
                <w:lang w:val="ru-RU"/>
              </w:rPr>
            </w:pPr>
            <w:r w:rsidRPr="00A52B09">
              <w:rPr>
                <w:lang w:val="ru-RU"/>
              </w:rPr>
              <w:t>Счетчик электроэнергии однофазный</w:t>
            </w:r>
          </w:p>
        </w:tc>
        <w:tc>
          <w:tcPr>
            <w:tcW w:w="1392" w:type="dxa"/>
          </w:tcPr>
          <w:p w:rsidR="00882E04" w:rsidRDefault="00A52B09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A52B09" w:rsidTr="00882E04">
        <w:tc>
          <w:tcPr>
            <w:tcW w:w="673" w:type="dxa"/>
          </w:tcPr>
          <w:p w:rsidR="00882E04" w:rsidRPr="00071356" w:rsidRDefault="007160ED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882E04" w:rsidRPr="00252833" w:rsidRDefault="00A52B09" w:rsidP="00882E04">
            <w:pPr>
              <w:rPr>
                <w:lang w:val="ru-RU"/>
              </w:rPr>
            </w:pPr>
            <w:r w:rsidRPr="00A52B09">
              <w:rPr>
                <w:lang w:val="ru-RU"/>
              </w:rPr>
              <w:t>Провод силовой алюминиевый АППВ</w:t>
            </w:r>
            <w:r>
              <w:rPr>
                <w:lang w:val="ru-RU"/>
              </w:rPr>
              <w:t xml:space="preserve"> 1х6</w:t>
            </w:r>
          </w:p>
        </w:tc>
        <w:tc>
          <w:tcPr>
            <w:tcW w:w="1392" w:type="dxa"/>
          </w:tcPr>
          <w:p w:rsidR="00882E04" w:rsidRDefault="00A52B09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654 метра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  <w:bookmarkStart w:id="0" w:name="_GoBack"/>
      <w:bookmarkEnd w:id="0"/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4C5DF9">
        <w:rPr>
          <w:bCs/>
          <w:lang w:val="ru-RU"/>
        </w:rPr>
        <w:t>20</w:t>
      </w:r>
      <w:r w:rsidR="00D46423" w:rsidRPr="00071356">
        <w:rPr>
          <w:bCs/>
          <w:lang w:val="ru-RU"/>
        </w:rPr>
        <w:t>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</w:t>
      </w:r>
      <w:proofErr w:type="gramStart"/>
      <w:r w:rsidR="00D46423" w:rsidRPr="00071356">
        <w:rPr>
          <w:bCs/>
          <w:lang w:val="ru-RU"/>
        </w:rPr>
        <w:t>иных условий</w:t>
      </w:r>
      <w:proofErr w:type="gramEnd"/>
      <w:r w:rsidR="00D46423" w:rsidRPr="00071356">
        <w:rPr>
          <w:bCs/>
          <w:lang w:val="ru-RU"/>
        </w:rPr>
        <w:t xml:space="preserve">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 xml:space="preserve">Покупатель и Поставщик должны приложить все усилия при обоюдном разрешении споров или разногласий, возникших при выполнении </w:t>
      </w:r>
      <w:r w:rsidR="004510DA" w:rsidRPr="00B14263">
        <w:rPr>
          <w:lang w:val="ru-RU"/>
        </w:rPr>
        <w:lastRenderedPageBreak/>
        <w:t>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1305AE" w:rsidRPr="00010C78" w:rsidTr="000A5B1C">
        <w:tc>
          <w:tcPr>
            <w:tcW w:w="392" w:type="dxa"/>
            <w:shd w:val="clear" w:color="auto" w:fill="FFFFFF"/>
          </w:tcPr>
          <w:p w:rsidR="001305AE" w:rsidRPr="00082B67" w:rsidRDefault="001305AE" w:rsidP="001305A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1305AE" w:rsidRPr="00A52B09" w:rsidRDefault="007160ED" w:rsidP="006042DB">
            <w:pPr>
              <w:rPr>
                <w:lang w:val="ru-RU"/>
              </w:rPr>
            </w:pPr>
            <w:r>
              <w:rPr>
                <w:lang w:val="ru-RU"/>
              </w:rPr>
              <w:t>Светильник уличного освещения</w:t>
            </w:r>
          </w:p>
        </w:tc>
        <w:tc>
          <w:tcPr>
            <w:tcW w:w="4678" w:type="dxa"/>
          </w:tcPr>
          <w:p w:rsidR="001305AE" w:rsidRDefault="007160ED" w:rsidP="001305AE">
            <w:pPr>
              <w:rPr>
                <w:lang w:val="ru-RU"/>
              </w:rPr>
            </w:pPr>
            <w:r>
              <w:rPr>
                <w:lang w:val="ru-RU"/>
              </w:rPr>
              <w:t xml:space="preserve">Тип: </w:t>
            </w:r>
            <w:r w:rsidRPr="007160ED">
              <w:rPr>
                <w:lang w:val="ru-RU"/>
              </w:rPr>
              <w:t>светодиодны</w:t>
            </w:r>
            <w:r>
              <w:rPr>
                <w:lang w:val="ru-RU"/>
              </w:rPr>
              <w:t xml:space="preserve">й </w:t>
            </w:r>
          </w:p>
          <w:p w:rsidR="00010C78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>Корпус: металл, стекло</w:t>
            </w:r>
          </w:p>
          <w:p w:rsidR="00BF6295" w:rsidRPr="00010C78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>Мощность: не менее 50</w:t>
            </w:r>
            <w:r>
              <w:t>W</w:t>
            </w:r>
          </w:p>
          <w:p w:rsidR="00010C78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>Входное напряжение: 220-240</w:t>
            </w:r>
            <w:r>
              <w:t>V</w:t>
            </w:r>
          </w:p>
          <w:p w:rsidR="00010C78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>Угол свечения: 120˚</w:t>
            </w:r>
          </w:p>
          <w:p w:rsidR="00010C78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 xml:space="preserve">Световой поток: минимум 4000 </w:t>
            </w:r>
            <w:r>
              <w:t>lm</w:t>
            </w:r>
          </w:p>
          <w:p w:rsidR="00010C78" w:rsidRPr="00010C78" w:rsidRDefault="00010C78" w:rsidP="001305A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Влагозащита</w:t>
            </w:r>
            <w:proofErr w:type="spellEnd"/>
            <w:r>
              <w:rPr>
                <w:lang w:val="ru-RU"/>
              </w:rPr>
              <w:t>: есть</w:t>
            </w:r>
          </w:p>
        </w:tc>
        <w:tc>
          <w:tcPr>
            <w:tcW w:w="1984" w:type="dxa"/>
            <w:vAlign w:val="center"/>
          </w:tcPr>
          <w:p w:rsidR="001305AE" w:rsidRPr="00EE0D8D" w:rsidRDefault="001305AE" w:rsidP="001305AE">
            <w:pPr>
              <w:jc w:val="center"/>
              <w:rPr>
                <w:lang w:val="ru-RU"/>
              </w:rPr>
            </w:pPr>
          </w:p>
        </w:tc>
      </w:tr>
      <w:tr w:rsidR="001305AE" w:rsidRPr="00A52B09" w:rsidTr="000A5B1C">
        <w:tc>
          <w:tcPr>
            <w:tcW w:w="392" w:type="dxa"/>
            <w:shd w:val="clear" w:color="auto" w:fill="FFFFFF"/>
          </w:tcPr>
          <w:p w:rsidR="001305AE" w:rsidRDefault="001305AE" w:rsidP="001305A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1305AE" w:rsidRPr="00252833" w:rsidRDefault="00463EB8" w:rsidP="001305AE">
            <w:pPr>
              <w:rPr>
                <w:lang w:val="ru-RU"/>
              </w:rPr>
            </w:pPr>
            <w:r>
              <w:rPr>
                <w:lang w:val="ru-RU"/>
              </w:rPr>
              <w:t>Автоматический выключатель</w:t>
            </w:r>
            <w:r w:rsidR="001305AE" w:rsidRPr="00A52B09">
              <w:rPr>
                <w:lang w:val="ru-RU"/>
              </w:rPr>
              <w:t xml:space="preserve"> 1-ф, 63 А</w:t>
            </w:r>
          </w:p>
        </w:tc>
        <w:tc>
          <w:tcPr>
            <w:tcW w:w="4678" w:type="dxa"/>
          </w:tcPr>
          <w:p w:rsidR="00463EB8" w:rsidRPr="00463EB8" w:rsidRDefault="00463EB8" w:rsidP="00463EB8">
            <w:pPr>
              <w:rPr>
                <w:lang w:val="ru-RU"/>
              </w:rPr>
            </w:pPr>
            <w:r>
              <w:rPr>
                <w:lang w:val="ru-RU"/>
              </w:rPr>
              <w:t>Номинальный ток</w:t>
            </w:r>
            <w:r w:rsidRPr="00463EB8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463EB8">
              <w:rPr>
                <w:lang w:val="ru-RU"/>
              </w:rPr>
              <w:t>63 А</w:t>
            </w:r>
          </w:p>
          <w:p w:rsidR="00463EB8" w:rsidRPr="00463EB8" w:rsidRDefault="00463EB8" w:rsidP="00463EB8">
            <w:pPr>
              <w:rPr>
                <w:lang w:val="ru-RU"/>
              </w:rPr>
            </w:pPr>
            <w:r w:rsidRPr="00463EB8">
              <w:rPr>
                <w:lang w:val="ru-RU"/>
              </w:rPr>
              <w:t>Количество полюсов:</w:t>
            </w:r>
            <w:r>
              <w:rPr>
                <w:lang w:val="ru-RU"/>
              </w:rPr>
              <w:t xml:space="preserve"> </w:t>
            </w:r>
            <w:r w:rsidRPr="00463EB8">
              <w:rPr>
                <w:lang w:val="ru-RU"/>
              </w:rPr>
              <w:t>1</w:t>
            </w:r>
          </w:p>
          <w:p w:rsidR="001305AE" w:rsidRDefault="00463EB8" w:rsidP="00463EB8">
            <w:pPr>
              <w:rPr>
                <w:lang w:val="ru-RU"/>
              </w:rPr>
            </w:pPr>
            <w:r w:rsidRPr="00463EB8">
              <w:rPr>
                <w:lang w:val="ru-RU"/>
              </w:rPr>
              <w:t>Номинальная отключающая способность, кА:</w:t>
            </w:r>
            <w:r>
              <w:rPr>
                <w:lang w:val="ru-RU"/>
              </w:rPr>
              <w:t xml:space="preserve"> </w:t>
            </w:r>
            <w:r w:rsidRPr="00463EB8">
              <w:rPr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1305AE" w:rsidRDefault="001305AE" w:rsidP="001305AE">
            <w:pPr>
              <w:jc w:val="center"/>
              <w:rPr>
                <w:lang w:val="ru-RU"/>
              </w:rPr>
            </w:pPr>
          </w:p>
        </w:tc>
      </w:tr>
      <w:tr w:rsidR="001305AE" w:rsidRPr="007160ED" w:rsidTr="000A5B1C">
        <w:tc>
          <w:tcPr>
            <w:tcW w:w="392" w:type="dxa"/>
            <w:shd w:val="clear" w:color="auto" w:fill="FFFFFF"/>
          </w:tcPr>
          <w:p w:rsidR="001305AE" w:rsidRDefault="007160ED" w:rsidP="001305A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1305AE" w:rsidRPr="00252833" w:rsidRDefault="001305AE" w:rsidP="001305AE">
            <w:pPr>
              <w:rPr>
                <w:lang w:val="ru-RU"/>
              </w:rPr>
            </w:pPr>
            <w:r w:rsidRPr="00A52B09">
              <w:rPr>
                <w:lang w:val="ru-RU"/>
              </w:rPr>
              <w:t>Счетчик электроэнергии однофазный</w:t>
            </w:r>
          </w:p>
        </w:tc>
        <w:tc>
          <w:tcPr>
            <w:tcW w:w="4678" w:type="dxa"/>
          </w:tcPr>
          <w:p w:rsidR="006651FF" w:rsidRDefault="006651FF" w:rsidP="006651FF">
            <w:pPr>
              <w:rPr>
                <w:lang w:val="ru-RU"/>
              </w:rPr>
            </w:pPr>
            <w:r w:rsidRPr="006651FF">
              <w:rPr>
                <w:lang w:val="ru-RU"/>
              </w:rPr>
              <w:t>Номинальное напряжение</w:t>
            </w:r>
            <w:r w:rsidR="00AF087B">
              <w:rPr>
                <w:lang w:val="ru-RU"/>
              </w:rPr>
              <w:t>:</w:t>
            </w:r>
            <w:r w:rsidRPr="006651FF">
              <w:rPr>
                <w:lang w:val="ru-RU"/>
              </w:rPr>
              <w:t xml:space="preserve"> 220-240</w:t>
            </w:r>
            <w:r w:rsidR="00AF087B" w:rsidRPr="006651FF">
              <w:rPr>
                <w:lang w:val="ru-RU"/>
              </w:rPr>
              <w:t xml:space="preserve"> V</w:t>
            </w:r>
          </w:p>
          <w:p w:rsidR="00AF087B" w:rsidRPr="006651FF" w:rsidRDefault="00AF087B" w:rsidP="006651FF">
            <w:pPr>
              <w:rPr>
                <w:lang w:val="ru-RU"/>
              </w:rPr>
            </w:pPr>
            <w:r w:rsidRPr="00AF087B">
              <w:rPr>
                <w:lang w:val="ru-RU"/>
              </w:rPr>
              <w:t>Номинальный ток</w:t>
            </w:r>
            <w:r>
              <w:rPr>
                <w:lang w:val="ru-RU"/>
              </w:rPr>
              <w:t>:</w:t>
            </w:r>
            <w:r w:rsidRPr="00AF087B">
              <w:rPr>
                <w:lang w:val="ru-RU"/>
              </w:rPr>
              <w:t xml:space="preserve"> 10 A</w:t>
            </w:r>
          </w:p>
          <w:p w:rsidR="006651FF" w:rsidRPr="006651FF" w:rsidRDefault="006651FF" w:rsidP="006651FF">
            <w:pPr>
              <w:rPr>
                <w:lang w:val="ru-RU"/>
              </w:rPr>
            </w:pPr>
            <w:r w:rsidRPr="006651FF">
              <w:rPr>
                <w:lang w:val="ru-RU"/>
              </w:rPr>
              <w:t>Класс точности</w:t>
            </w:r>
            <w:r w:rsidR="00AF087B">
              <w:rPr>
                <w:lang w:val="ru-RU"/>
              </w:rPr>
              <w:t>:</w:t>
            </w:r>
            <w:r w:rsidRPr="006651FF">
              <w:rPr>
                <w:lang w:val="ru-RU"/>
              </w:rPr>
              <w:t xml:space="preserve"> 1</w:t>
            </w:r>
          </w:p>
          <w:p w:rsidR="006651FF" w:rsidRPr="006651FF" w:rsidRDefault="006651FF" w:rsidP="006651FF">
            <w:pPr>
              <w:rPr>
                <w:lang w:val="ru-RU"/>
              </w:rPr>
            </w:pPr>
            <w:r w:rsidRPr="006651FF">
              <w:rPr>
                <w:lang w:val="ru-RU"/>
              </w:rPr>
              <w:t>Передаточное число импульсного выхода</w:t>
            </w:r>
            <w:r w:rsidR="00AF087B">
              <w:rPr>
                <w:lang w:val="ru-RU"/>
              </w:rPr>
              <w:t xml:space="preserve">: </w:t>
            </w:r>
            <w:r w:rsidRPr="006651FF">
              <w:rPr>
                <w:lang w:val="ru-RU"/>
              </w:rPr>
              <w:t xml:space="preserve">1000 </w:t>
            </w:r>
            <w:proofErr w:type="spellStart"/>
            <w:r w:rsidRPr="006651FF">
              <w:rPr>
                <w:lang w:val="ru-RU"/>
              </w:rPr>
              <w:t>imp</w:t>
            </w:r>
            <w:proofErr w:type="spellEnd"/>
            <w:r w:rsidRPr="006651FF">
              <w:rPr>
                <w:lang w:val="ru-RU"/>
              </w:rPr>
              <w:t>/</w:t>
            </w:r>
            <w:proofErr w:type="spellStart"/>
            <w:r w:rsidRPr="006651FF">
              <w:rPr>
                <w:lang w:val="ru-RU"/>
              </w:rPr>
              <w:t>kWh</w:t>
            </w:r>
            <w:proofErr w:type="spellEnd"/>
          </w:p>
          <w:p w:rsidR="006651FF" w:rsidRPr="006651FF" w:rsidRDefault="006651FF" w:rsidP="006651FF">
            <w:pPr>
              <w:rPr>
                <w:lang w:val="ru-RU"/>
              </w:rPr>
            </w:pPr>
            <w:r w:rsidRPr="006651FF">
              <w:rPr>
                <w:lang w:val="ru-RU"/>
              </w:rPr>
              <w:t>Чувствительность при номинальном напряжении</w:t>
            </w:r>
            <w:r w:rsidR="00AF087B">
              <w:rPr>
                <w:lang w:val="ru-RU"/>
              </w:rPr>
              <w:t>:</w:t>
            </w:r>
            <w:r w:rsidRPr="006651FF">
              <w:rPr>
                <w:lang w:val="ru-RU"/>
              </w:rPr>
              <w:t xml:space="preserve"> 0.02</w:t>
            </w:r>
            <w:r w:rsidR="00AF087B" w:rsidRPr="006651FF">
              <w:rPr>
                <w:lang w:val="ru-RU"/>
              </w:rPr>
              <w:t xml:space="preserve"> A</w:t>
            </w:r>
          </w:p>
          <w:p w:rsidR="001305AE" w:rsidRDefault="006651FF" w:rsidP="006651FF">
            <w:pPr>
              <w:rPr>
                <w:lang w:val="ru-RU"/>
              </w:rPr>
            </w:pPr>
            <w:r w:rsidRPr="006651FF">
              <w:rPr>
                <w:lang w:val="ru-RU"/>
              </w:rPr>
              <w:t>Рабочий диапазон температур °C от –40 до +70</w:t>
            </w:r>
          </w:p>
        </w:tc>
        <w:tc>
          <w:tcPr>
            <w:tcW w:w="1984" w:type="dxa"/>
            <w:vAlign w:val="center"/>
          </w:tcPr>
          <w:p w:rsidR="001305AE" w:rsidRDefault="001305AE" w:rsidP="001305AE">
            <w:pPr>
              <w:jc w:val="center"/>
              <w:rPr>
                <w:lang w:val="ru-RU"/>
              </w:rPr>
            </w:pPr>
          </w:p>
        </w:tc>
      </w:tr>
      <w:tr w:rsidR="001305AE" w:rsidRPr="007160ED" w:rsidTr="000A5B1C">
        <w:tc>
          <w:tcPr>
            <w:tcW w:w="392" w:type="dxa"/>
            <w:shd w:val="clear" w:color="auto" w:fill="FFFFFF"/>
          </w:tcPr>
          <w:p w:rsidR="001305AE" w:rsidRDefault="007160ED" w:rsidP="001305A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1305AE" w:rsidRPr="00252833" w:rsidRDefault="00010C78" w:rsidP="001305AE">
            <w:pPr>
              <w:rPr>
                <w:lang w:val="ru-RU"/>
              </w:rPr>
            </w:pPr>
            <w:r>
              <w:rPr>
                <w:lang w:val="ru-RU"/>
              </w:rPr>
              <w:t>Провод силовой алюминиевый А</w:t>
            </w:r>
            <w:r w:rsidR="001305AE" w:rsidRPr="00A52B09">
              <w:rPr>
                <w:lang w:val="ru-RU"/>
              </w:rPr>
              <w:t>ПВ</w:t>
            </w:r>
            <w:r w:rsidR="001305AE">
              <w:rPr>
                <w:lang w:val="ru-RU"/>
              </w:rPr>
              <w:t xml:space="preserve"> 1х6</w:t>
            </w:r>
          </w:p>
        </w:tc>
        <w:tc>
          <w:tcPr>
            <w:tcW w:w="4678" w:type="dxa"/>
          </w:tcPr>
          <w:p w:rsidR="00010C78" w:rsidRDefault="00010C78" w:rsidP="00AF087B">
            <w:pPr>
              <w:rPr>
                <w:lang w:val="ru-RU"/>
              </w:rPr>
            </w:pPr>
            <w:r>
              <w:rPr>
                <w:lang w:val="ru-RU"/>
              </w:rPr>
              <w:t>Тип: Алюминиевый провод А</w:t>
            </w:r>
            <w:r w:rsidR="00AF087B" w:rsidRPr="00AF087B">
              <w:rPr>
                <w:lang w:val="ru-RU"/>
              </w:rPr>
              <w:t xml:space="preserve">ПВ </w:t>
            </w:r>
          </w:p>
          <w:p w:rsidR="00AF087B" w:rsidRPr="00AF087B" w:rsidRDefault="00010C78" w:rsidP="00AF087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F087B" w:rsidRPr="00AF087B">
              <w:rPr>
                <w:lang w:val="ru-RU"/>
              </w:rPr>
              <w:t>тойкий к воздействию температур при использовании: от -50°С до +70°С</w:t>
            </w:r>
          </w:p>
          <w:p w:rsidR="001305AE" w:rsidRDefault="00AF087B" w:rsidP="00AF087B">
            <w:pPr>
              <w:rPr>
                <w:lang w:val="ru-RU"/>
              </w:rPr>
            </w:pPr>
            <w:r w:rsidRPr="00AF087B">
              <w:rPr>
                <w:lang w:val="ru-RU"/>
              </w:rPr>
              <w:t>Кабель провод стойкий к воздействию 100%-й влажности при температуре +35°С</w:t>
            </w:r>
          </w:p>
          <w:p w:rsidR="00AF087B" w:rsidRPr="00AF087B" w:rsidRDefault="00AF087B" w:rsidP="00AF087B">
            <w:pPr>
              <w:rPr>
                <w:lang w:val="ru-RU"/>
              </w:rPr>
            </w:pPr>
            <w:r w:rsidRPr="00AF087B">
              <w:rPr>
                <w:lang w:val="ru-RU"/>
              </w:rPr>
              <w:t>Минимальный срок службы провода – 15 лет</w:t>
            </w:r>
          </w:p>
          <w:p w:rsidR="00AF087B" w:rsidRPr="00AF087B" w:rsidRDefault="00AF087B" w:rsidP="00AF087B">
            <w:pPr>
              <w:rPr>
                <w:lang w:val="ru-RU"/>
              </w:rPr>
            </w:pPr>
            <w:r w:rsidRPr="00AF087B">
              <w:rPr>
                <w:lang w:val="ru-RU"/>
              </w:rPr>
              <w:t xml:space="preserve">Количество жил — </w:t>
            </w:r>
            <w:r w:rsidR="00010C78">
              <w:rPr>
                <w:lang w:val="ru-RU"/>
              </w:rPr>
              <w:t xml:space="preserve">минимум </w:t>
            </w:r>
            <w:r>
              <w:rPr>
                <w:lang w:val="ru-RU"/>
              </w:rPr>
              <w:t>1</w:t>
            </w:r>
          </w:p>
          <w:p w:rsidR="00AF087B" w:rsidRPr="00AF087B" w:rsidRDefault="00AF087B" w:rsidP="00AF087B">
            <w:pPr>
              <w:rPr>
                <w:lang w:val="ru-RU"/>
              </w:rPr>
            </w:pPr>
            <w:r w:rsidRPr="00AF087B">
              <w:rPr>
                <w:lang w:val="ru-RU"/>
              </w:rPr>
              <w:t xml:space="preserve">Сечение жилы кабеля — </w:t>
            </w:r>
            <w:r w:rsidR="00010C78">
              <w:rPr>
                <w:lang w:val="ru-RU"/>
              </w:rPr>
              <w:t xml:space="preserve">минимум </w:t>
            </w:r>
            <w:r>
              <w:rPr>
                <w:lang w:val="ru-RU"/>
              </w:rPr>
              <w:t>6</w:t>
            </w:r>
            <w:r w:rsidRPr="00AF087B">
              <w:rPr>
                <w:lang w:val="ru-RU"/>
              </w:rPr>
              <w:t xml:space="preserve"> кв. мм</w:t>
            </w:r>
          </w:p>
          <w:p w:rsidR="00AF087B" w:rsidRDefault="00AF087B" w:rsidP="00AF087B">
            <w:pPr>
              <w:rPr>
                <w:lang w:val="ru-RU"/>
              </w:rPr>
            </w:pPr>
            <w:r w:rsidRPr="00AF087B">
              <w:rPr>
                <w:lang w:val="ru-RU"/>
              </w:rPr>
              <w:t xml:space="preserve">Толщина изоляции жил — </w:t>
            </w:r>
            <w:r w:rsidR="00010C78">
              <w:rPr>
                <w:lang w:val="ru-RU"/>
              </w:rPr>
              <w:t xml:space="preserve">минимум </w:t>
            </w:r>
            <w:r w:rsidRPr="00AF087B">
              <w:rPr>
                <w:lang w:val="ru-RU"/>
              </w:rPr>
              <w:t>0,8 мм</w:t>
            </w:r>
          </w:p>
        </w:tc>
        <w:tc>
          <w:tcPr>
            <w:tcW w:w="1984" w:type="dxa"/>
            <w:vAlign w:val="center"/>
          </w:tcPr>
          <w:p w:rsidR="001305AE" w:rsidRDefault="001305AE" w:rsidP="001305AE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lastRenderedPageBreak/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67" w:rsidRDefault="00E13167">
      <w:r>
        <w:separator/>
      </w:r>
    </w:p>
  </w:endnote>
  <w:endnote w:type="continuationSeparator" w:id="0">
    <w:p w:rsidR="00E13167" w:rsidRDefault="00E1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67" w:rsidRDefault="00E13167">
      <w:r>
        <w:separator/>
      </w:r>
    </w:p>
  </w:footnote>
  <w:footnote w:type="continuationSeparator" w:id="0">
    <w:p w:rsidR="00E13167" w:rsidRDefault="00E1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0C7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238F"/>
    <w:rsid w:val="000B44C2"/>
    <w:rsid w:val="000C1239"/>
    <w:rsid w:val="000C130A"/>
    <w:rsid w:val="000D53A0"/>
    <w:rsid w:val="000E1146"/>
    <w:rsid w:val="000E2573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05AE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889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2833"/>
    <w:rsid w:val="0025457A"/>
    <w:rsid w:val="00256DF0"/>
    <w:rsid w:val="00264AD4"/>
    <w:rsid w:val="00270545"/>
    <w:rsid w:val="00272CF3"/>
    <w:rsid w:val="00276FA9"/>
    <w:rsid w:val="002807F5"/>
    <w:rsid w:val="002829F4"/>
    <w:rsid w:val="002844EF"/>
    <w:rsid w:val="002858F9"/>
    <w:rsid w:val="00286DB2"/>
    <w:rsid w:val="00287ACB"/>
    <w:rsid w:val="002A6EC3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14FB"/>
    <w:rsid w:val="003E7CEA"/>
    <w:rsid w:val="003F101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3EB8"/>
    <w:rsid w:val="004642B7"/>
    <w:rsid w:val="0046462F"/>
    <w:rsid w:val="00464B42"/>
    <w:rsid w:val="00466E02"/>
    <w:rsid w:val="0046796A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5DF9"/>
    <w:rsid w:val="004D415C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2DA8"/>
    <w:rsid w:val="005F468D"/>
    <w:rsid w:val="00600201"/>
    <w:rsid w:val="006028B6"/>
    <w:rsid w:val="006042DB"/>
    <w:rsid w:val="0060494A"/>
    <w:rsid w:val="006050C3"/>
    <w:rsid w:val="006112A8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651FF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0ED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161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2B09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087B"/>
    <w:rsid w:val="00AF3881"/>
    <w:rsid w:val="00AF6D27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BF6295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3167"/>
    <w:rsid w:val="00E14BD1"/>
    <w:rsid w:val="00E32FC0"/>
    <w:rsid w:val="00E45ABB"/>
    <w:rsid w:val="00E4614A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0EB4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05F2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6382E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FA21-9D91-4737-BA2B-D9C0FF5C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7225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43</cp:revision>
  <cp:lastPrinted>2016-07-01T08:26:00Z</cp:lastPrinted>
  <dcterms:created xsi:type="dcterms:W3CDTF">2014-10-29T10:18:00Z</dcterms:created>
  <dcterms:modified xsi:type="dcterms:W3CDTF">2016-07-06T10:49:00Z</dcterms:modified>
</cp:coreProperties>
</file>