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1B5666">
        <w:rPr>
          <w:lang w:val="ru-RU"/>
        </w:rPr>
        <w:t xml:space="preserve"> </w:t>
      </w:r>
      <w:r w:rsidRPr="001B5666">
        <w:rPr>
          <w:lang w:val="ru-RU"/>
        </w:rPr>
        <w:tab/>
      </w:r>
      <w:r w:rsidR="00882E04">
        <w:rPr>
          <w:lang w:val="ru-RU"/>
        </w:rPr>
        <w:t>11.07</w:t>
      </w:r>
      <w:r w:rsidR="005F0652">
        <w:rPr>
          <w:lang w:val="ru-RU"/>
        </w:rPr>
        <w:t>.2016 г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Кому</w:t>
      </w:r>
      <w:r w:rsidRPr="001B5666">
        <w:rPr>
          <w:lang w:val="ru-RU"/>
        </w:rPr>
        <w:tab/>
        <w:t xml:space="preserve">: </w:t>
      </w:r>
      <w:r w:rsidR="00F92141" w:rsidRPr="001B5666">
        <w:rPr>
          <w:lang w:val="ru-RU"/>
        </w:rPr>
        <w:t>Институт политики развития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Адрес:</w:t>
      </w:r>
      <w:r w:rsidR="00F92141" w:rsidRPr="001B5666">
        <w:rPr>
          <w:lang w:val="ru-RU"/>
        </w:rPr>
        <w:t xml:space="preserve"> Кыргызская Республика, Бишкек, ул. </w:t>
      </w:r>
      <w:r w:rsidR="00882E04">
        <w:rPr>
          <w:lang w:val="ru-RU"/>
        </w:rPr>
        <w:t>Уметалиева 108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Мы предлагаем выполнить </w:t>
      </w:r>
      <w:r w:rsidR="00F92141" w:rsidRPr="001B5666">
        <w:rPr>
          <w:spacing w:val="-3"/>
          <w:lang w:val="ru-RU"/>
        </w:rPr>
        <w:t xml:space="preserve">контракт на поставку </w:t>
      </w:r>
      <w:r w:rsidR="00A52B09">
        <w:rPr>
          <w:spacing w:val="-3"/>
          <w:lang w:val="ru-RU"/>
        </w:rPr>
        <w:t>товаров</w:t>
      </w:r>
      <w:r w:rsidR="00E93B48" w:rsidRPr="001B5666">
        <w:rPr>
          <w:spacing w:val="-3"/>
          <w:lang w:val="ru-RU"/>
        </w:rPr>
        <w:t xml:space="preserve"> </w:t>
      </w:r>
      <w:r w:rsidR="001D35F9" w:rsidRPr="001B5666">
        <w:rPr>
          <w:spacing w:val="-3"/>
          <w:lang w:val="ru-RU"/>
        </w:rPr>
        <w:t>№201</w:t>
      </w:r>
      <w:r w:rsidR="00882E04">
        <w:rPr>
          <w:spacing w:val="-3"/>
          <w:lang w:val="ru-RU"/>
        </w:rPr>
        <w:t>6</w:t>
      </w:r>
      <w:r w:rsidR="00F92141" w:rsidRPr="001B5666">
        <w:rPr>
          <w:spacing w:val="-3"/>
          <w:lang w:val="ru-RU"/>
        </w:rPr>
        <w:t>-</w:t>
      </w:r>
      <w:r w:rsidR="00F92141" w:rsidRPr="001B5666">
        <w:rPr>
          <w:spacing w:val="-3"/>
        </w:rPr>
        <w:t>G</w:t>
      </w:r>
      <w:r w:rsidR="00F92141" w:rsidRPr="001B5666">
        <w:rPr>
          <w:spacing w:val="-3"/>
          <w:lang w:val="ru-RU"/>
        </w:rPr>
        <w:t>-</w:t>
      </w:r>
      <w:r w:rsidR="00882E04">
        <w:rPr>
          <w:spacing w:val="-3"/>
          <w:lang w:val="ru-RU"/>
        </w:rPr>
        <w:t>2</w:t>
      </w:r>
      <w:r w:rsidR="001B5666" w:rsidRPr="001B5666">
        <w:rPr>
          <w:spacing w:val="-3"/>
          <w:lang w:val="ru-RU"/>
        </w:rPr>
        <w:t>/</w:t>
      </w:r>
      <w:r w:rsidR="00983472">
        <w:rPr>
          <w:spacing w:val="-3"/>
          <w:lang w:val="ru-RU"/>
        </w:rPr>
        <w:t>6</w:t>
      </w:r>
      <w:r w:rsidRPr="001B5666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предложению, по цене Контракта в размере </w:t>
      </w:r>
      <w:r w:rsidR="00882E04">
        <w:rPr>
          <w:spacing w:val="-3"/>
          <w:lang w:val="ru-RU"/>
        </w:rPr>
        <w:t>___________</w:t>
      </w:r>
      <w:r w:rsidR="005F0652">
        <w:rPr>
          <w:spacing w:val="-3"/>
          <w:lang w:val="ru-RU"/>
        </w:rPr>
        <w:t xml:space="preserve"> </w:t>
      </w:r>
      <w:r w:rsidRPr="001B5666">
        <w:rPr>
          <w:spacing w:val="-3"/>
          <w:lang w:val="ru-RU"/>
        </w:rPr>
        <w:t>(</w:t>
      </w:r>
      <w:r w:rsidR="00882E04">
        <w:rPr>
          <w:spacing w:val="-3"/>
          <w:lang w:val="ru-RU"/>
        </w:rPr>
        <w:t>_______________________________________________________________________</w:t>
      </w:r>
      <w:r w:rsidRPr="001B5666">
        <w:rPr>
          <w:spacing w:val="-3"/>
          <w:lang w:val="ru-RU"/>
        </w:rPr>
        <w:t xml:space="preserve">) </w:t>
      </w:r>
      <w:r w:rsidR="005F0652">
        <w:rPr>
          <w:spacing w:val="-3"/>
          <w:lang w:val="ru-RU"/>
        </w:rPr>
        <w:t>сом</w:t>
      </w:r>
      <w:r w:rsidRPr="001B5666">
        <w:rPr>
          <w:spacing w:val="-3"/>
          <w:lang w:val="ru-RU"/>
        </w:rPr>
        <w:t>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</w:t>
      </w:r>
      <w:r w:rsidR="00BB0827">
        <w:rPr>
          <w:spacing w:val="-3"/>
          <w:lang w:val="ru-RU"/>
        </w:rPr>
        <w:t>дней</w:t>
      </w:r>
      <w:r w:rsidRPr="001B5666">
        <w:rPr>
          <w:spacing w:val="-3"/>
          <w:lang w:val="ru-RU"/>
        </w:rPr>
        <w:t xml:space="preserve"> с даты подписания контракта.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Фамилия и должность </w:t>
      </w:r>
      <w:proofErr w:type="gramStart"/>
      <w:r w:rsidRPr="001B5666">
        <w:rPr>
          <w:spacing w:val="-3"/>
          <w:lang w:val="ru-RU"/>
        </w:rPr>
        <w:t>подписавшего:_</w:t>
      </w:r>
      <w:proofErr w:type="gramEnd"/>
      <w:r w:rsidRPr="001B5666">
        <w:rPr>
          <w:spacing w:val="-3"/>
          <w:lang w:val="ru-RU"/>
        </w:rPr>
        <w:t>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Наименование Поставщика:_______________________________________________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Адрес: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телефон_______________________________________________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факс, если есть________________________________________________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Default="000207CF" w:rsidP="00071356">
      <w:pPr>
        <w:rPr>
          <w:lang w:val="ru-RU"/>
        </w:rPr>
      </w:pPr>
    </w:p>
    <w:p w:rsidR="003536A9" w:rsidRDefault="003536A9" w:rsidP="00071356">
      <w:pPr>
        <w:rPr>
          <w:lang w:val="ru-RU"/>
        </w:rPr>
      </w:pPr>
    </w:p>
    <w:p w:rsidR="003536A9" w:rsidRPr="00071356" w:rsidRDefault="003536A9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5F0652" w:rsidRDefault="00797792" w:rsidP="00071356">
      <w:pPr>
        <w:ind w:left="426"/>
        <w:rPr>
          <w:lang w:val="ru-RU"/>
        </w:rPr>
      </w:pP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</w:p>
    <w:p w:rsidR="005F0652" w:rsidRDefault="005F0652">
      <w:pPr>
        <w:rPr>
          <w:lang w:val="ru-RU"/>
        </w:rPr>
      </w:pPr>
      <w:r>
        <w:rPr>
          <w:lang w:val="ru-RU"/>
        </w:rPr>
        <w:br w:type="page"/>
      </w: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b/>
          <w:lang w:val="ru-RU"/>
        </w:rPr>
        <w:lastRenderedPageBreak/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1B566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1D35F9">
        <w:rPr>
          <w:b/>
          <w:bCs/>
          <w:lang w:val="ru-RU"/>
        </w:rPr>
        <w:t>201</w:t>
      </w:r>
      <w:r w:rsidR="00882E04">
        <w:rPr>
          <w:b/>
          <w:bCs/>
          <w:lang w:val="ru-RU"/>
        </w:rPr>
        <w:t>6</w:t>
      </w:r>
      <w:r w:rsidR="00F92141">
        <w:rPr>
          <w:b/>
          <w:bCs/>
        </w:rPr>
        <w:t>-G-</w:t>
      </w:r>
      <w:r w:rsidR="00882E04">
        <w:rPr>
          <w:b/>
          <w:bCs/>
          <w:lang w:val="ru-RU"/>
        </w:rPr>
        <w:t>2</w:t>
      </w:r>
      <w:r w:rsidR="001B5666">
        <w:rPr>
          <w:b/>
          <w:bCs/>
          <w:lang w:val="ru-RU"/>
        </w:rPr>
        <w:t>/</w:t>
      </w:r>
      <w:r w:rsidR="00983472">
        <w:rPr>
          <w:b/>
          <w:bCs/>
          <w:lang w:val="ru-RU"/>
        </w:rPr>
        <w:t>6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721" w:type="dxa"/>
        <w:tblInd w:w="-601" w:type="dxa"/>
        <w:tblLook w:val="04A0" w:firstRow="1" w:lastRow="0" w:firstColumn="1" w:lastColumn="0" w:noHBand="0" w:noVBand="1"/>
      </w:tblPr>
      <w:tblGrid>
        <w:gridCol w:w="673"/>
        <w:gridCol w:w="2871"/>
        <w:gridCol w:w="1392"/>
        <w:gridCol w:w="1155"/>
        <w:gridCol w:w="2273"/>
        <w:gridCol w:w="2357"/>
      </w:tblGrid>
      <w:tr w:rsidR="00C908B6" w:rsidRPr="00071356" w:rsidTr="00882E04">
        <w:tc>
          <w:tcPr>
            <w:tcW w:w="673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871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55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2273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071356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071356">
              <w:rPr>
                <w:sz w:val="20"/>
                <w:szCs w:val="20"/>
                <w:lang w:val="ru-RU"/>
              </w:rPr>
              <w:t>. все налоги, НДС, таможенные пошлины, сборы, стоимость внутренней транспортировки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357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150E6B" w:rsidRPr="00882E04" w:rsidTr="00882E04">
        <w:tc>
          <w:tcPr>
            <w:tcW w:w="673" w:type="dxa"/>
          </w:tcPr>
          <w:p w:rsidR="00150E6B" w:rsidRPr="00071356" w:rsidRDefault="00150E6B" w:rsidP="00150E6B">
            <w:pPr>
              <w:jc w:val="both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2871" w:type="dxa"/>
          </w:tcPr>
          <w:p w:rsidR="00150E6B" w:rsidRPr="00A52B09" w:rsidRDefault="00150E6B" w:rsidP="00150E6B">
            <w:pPr>
              <w:rPr>
                <w:lang w:val="ru-RU"/>
              </w:rPr>
            </w:pPr>
            <w:r>
              <w:rPr>
                <w:lang w:val="ru-RU"/>
              </w:rPr>
              <w:t>Кровать детская двухъярусная</w:t>
            </w:r>
          </w:p>
        </w:tc>
        <w:tc>
          <w:tcPr>
            <w:tcW w:w="1392" w:type="dxa"/>
          </w:tcPr>
          <w:p w:rsidR="00150E6B" w:rsidRPr="00071356" w:rsidRDefault="00150E6B" w:rsidP="00150E6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155" w:type="dxa"/>
          </w:tcPr>
          <w:p w:rsidR="00150E6B" w:rsidRPr="005F0652" w:rsidRDefault="00150E6B" w:rsidP="00150E6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150E6B" w:rsidRPr="005F0652" w:rsidRDefault="00150E6B" w:rsidP="00150E6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150E6B" w:rsidRDefault="00150E6B" w:rsidP="00150E6B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150E6B" w:rsidRPr="00071356" w:rsidRDefault="00150E6B" w:rsidP="00150E6B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150E6B" w:rsidRPr="00882E04" w:rsidTr="00882E04">
        <w:tc>
          <w:tcPr>
            <w:tcW w:w="673" w:type="dxa"/>
          </w:tcPr>
          <w:p w:rsidR="00150E6B" w:rsidRPr="00071356" w:rsidRDefault="00150E6B" w:rsidP="00150E6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871" w:type="dxa"/>
          </w:tcPr>
          <w:p w:rsidR="00150E6B" w:rsidRDefault="00150E6B" w:rsidP="00150E6B">
            <w:pPr>
              <w:rPr>
                <w:lang w:val="ru-RU"/>
              </w:rPr>
            </w:pPr>
            <w:r>
              <w:rPr>
                <w:lang w:val="ru-RU"/>
              </w:rPr>
              <w:t>Шкафы гардеробные для детской одежды с 3-мя отделениями</w:t>
            </w:r>
          </w:p>
        </w:tc>
        <w:tc>
          <w:tcPr>
            <w:tcW w:w="1392" w:type="dxa"/>
          </w:tcPr>
          <w:p w:rsidR="00150E6B" w:rsidRDefault="00150E6B" w:rsidP="00150E6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155" w:type="dxa"/>
          </w:tcPr>
          <w:p w:rsidR="00150E6B" w:rsidRPr="005F0652" w:rsidRDefault="00150E6B" w:rsidP="00150E6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150E6B" w:rsidRPr="005F0652" w:rsidRDefault="00150E6B" w:rsidP="00150E6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150E6B" w:rsidRDefault="00150E6B" w:rsidP="00150E6B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150E6B" w:rsidRPr="00882E04" w:rsidTr="00882E04">
        <w:tc>
          <w:tcPr>
            <w:tcW w:w="673" w:type="dxa"/>
          </w:tcPr>
          <w:p w:rsidR="00150E6B" w:rsidRDefault="00150E6B" w:rsidP="00150E6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871" w:type="dxa"/>
          </w:tcPr>
          <w:p w:rsidR="00150E6B" w:rsidRDefault="00150E6B" w:rsidP="00150E6B">
            <w:pPr>
              <w:rPr>
                <w:lang w:val="ru-RU"/>
              </w:rPr>
            </w:pPr>
            <w:r>
              <w:rPr>
                <w:lang w:val="ru-RU"/>
              </w:rPr>
              <w:t>Парта ученическая 2-х местная</w:t>
            </w:r>
          </w:p>
        </w:tc>
        <w:tc>
          <w:tcPr>
            <w:tcW w:w="1392" w:type="dxa"/>
          </w:tcPr>
          <w:p w:rsidR="00150E6B" w:rsidRDefault="00150E6B" w:rsidP="00150E6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155" w:type="dxa"/>
          </w:tcPr>
          <w:p w:rsidR="00150E6B" w:rsidRPr="005F0652" w:rsidRDefault="00150E6B" w:rsidP="00150E6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150E6B" w:rsidRPr="005F0652" w:rsidRDefault="00150E6B" w:rsidP="00150E6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150E6B" w:rsidRDefault="00150E6B" w:rsidP="00150E6B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150E6B" w:rsidRPr="00882E04" w:rsidTr="00882E04">
        <w:tc>
          <w:tcPr>
            <w:tcW w:w="673" w:type="dxa"/>
          </w:tcPr>
          <w:p w:rsidR="00150E6B" w:rsidRDefault="00150E6B" w:rsidP="00150E6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871" w:type="dxa"/>
          </w:tcPr>
          <w:p w:rsidR="00150E6B" w:rsidRDefault="00150E6B" w:rsidP="00150E6B">
            <w:pPr>
              <w:rPr>
                <w:lang w:val="ru-RU"/>
              </w:rPr>
            </w:pPr>
            <w:r>
              <w:rPr>
                <w:lang w:val="ru-RU"/>
              </w:rPr>
              <w:t>Стулья ученические</w:t>
            </w:r>
          </w:p>
        </w:tc>
        <w:tc>
          <w:tcPr>
            <w:tcW w:w="1392" w:type="dxa"/>
          </w:tcPr>
          <w:p w:rsidR="00150E6B" w:rsidRDefault="00150E6B" w:rsidP="00150E6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1155" w:type="dxa"/>
          </w:tcPr>
          <w:p w:rsidR="00150E6B" w:rsidRPr="005F0652" w:rsidRDefault="00150E6B" w:rsidP="00150E6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150E6B" w:rsidRPr="005F0652" w:rsidRDefault="00150E6B" w:rsidP="00150E6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150E6B" w:rsidRDefault="00150E6B" w:rsidP="00150E6B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150E6B" w:rsidRPr="00882E04" w:rsidTr="00882E04">
        <w:tc>
          <w:tcPr>
            <w:tcW w:w="673" w:type="dxa"/>
          </w:tcPr>
          <w:p w:rsidR="00150E6B" w:rsidRDefault="00150E6B" w:rsidP="00150E6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871" w:type="dxa"/>
          </w:tcPr>
          <w:p w:rsidR="00150E6B" w:rsidRDefault="00150E6B" w:rsidP="00150E6B">
            <w:pPr>
              <w:rPr>
                <w:lang w:val="ru-RU"/>
              </w:rPr>
            </w:pPr>
            <w:r>
              <w:rPr>
                <w:lang w:val="ru-RU"/>
              </w:rPr>
              <w:t xml:space="preserve">Шкаф книжный </w:t>
            </w:r>
          </w:p>
        </w:tc>
        <w:tc>
          <w:tcPr>
            <w:tcW w:w="1392" w:type="dxa"/>
          </w:tcPr>
          <w:p w:rsidR="00150E6B" w:rsidRDefault="00150E6B" w:rsidP="00150E6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155" w:type="dxa"/>
          </w:tcPr>
          <w:p w:rsidR="00150E6B" w:rsidRPr="005F0652" w:rsidRDefault="00150E6B" w:rsidP="00150E6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150E6B" w:rsidRPr="005F0652" w:rsidRDefault="00150E6B" w:rsidP="00150E6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150E6B" w:rsidRDefault="00150E6B" w:rsidP="00150E6B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r w:rsidRPr="00071356">
        <w:rPr>
          <w:bCs/>
          <w:lang w:val="ru-RU"/>
        </w:rPr>
        <w:tab/>
      </w:r>
      <w:r w:rsidRPr="00071356">
        <w:rPr>
          <w:bCs/>
          <w:sz w:val="16"/>
          <w:lang w:val="ru-RU"/>
        </w:rPr>
        <w:t xml:space="preserve">{Примечание: </w:t>
      </w:r>
      <w:proofErr w:type="gramStart"/>
      <w:r w:rsidRPr="00071356">
        <w:rPr>
          <w:bCs/>
          <w:sz w:val="16"/>
          <w:lang w:val="ru-RU"/>
        </w:rPr>
        <w:t>В</w:t>
      </w:r>
      <w:proofErr w:type="gramEnd"/>
      <w:r w:rsidRPr="00071356">
        <w:rPr>
          <w:bCs/>
          <w:sz w:val="16"/>
          <w:lang w:val="ru-RU"/>
        </w:rPr>
        <w:t xml:space="preserve"> случае расхождения между ценой за единицу товара и общей суммы за товары, определяющей будет цена за единицу товара}</w:t>
      </w:r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797792" w:rsidRPr="00071356" w:rsidRDefault="007977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:rsidR="000F5F2D" w:rsidRPr="00071356" w:rsidRDefault="000F5F2D" w:rsidP="005F0652">
      <w:pPr>
        <w:ind w:left="142"/>
        <w:jc w:val="both"/>
        <w:rPr>
          <w:lang w:val="ru-RU"/>
        </w:rPr>
      </w:pPr>
    </w:p>
    <w:p w:rsidR="00D46423" w:rsidRPr="00071356" w:rsidRDefault="00501892" w:rsidP="005F0652">
      <w:pPr>
        <w:ind w:left="142"/>
        <w:jc w:val="both"/>
        <w:rPr>
          <w:bCs/>
          <w:lang w:val="ru-RU"/>
        </w:rPr>
      </w:pPr>
      <w:r w:rsidRPr="00071356">
        <w:rPr>
          <w:bCs/>
          <w:lang w:val="ru-RU"/>
        </w:rPr>
        <w:t>3.</w:t>
      </w:r>
      <w:r w:rsidRPr="00071356">
        <w:rPr>
          <w:bCs/>
          <w:lang w:val="ru-RU"/>
        </w:rPr>
        <w:tab/>
      </w:r>
      <w:r w:rsidR="00D46423" w:rsidRPr="00071356">
        <w:rPr>
          <w:bCs/>
          <w:lang w:val="ru-RU"/>
        </w:rPr>
        <w:t xml:space="preserve">Покупатель сохраняет за собой право при завершении контракта увеличить или уменьшить </w:t>
      </w:r>
      <w:r w:rsidR="00815979" w:rsidRPr="00071356">
        <w:rPr>
          <w:bCs/>
          <w:lang w:val="ru-RU"/>
        </w:rPr>
        <w:t xml:space="preserve">до </w:t>
      </w:r>
      <w:r w:rsidR="00D46423" w:rsidRPr="00071356">
        <w:rPr>
          <w:bCs/>
          <w:lang w:val="ru-RU"/>
        </w:rPr>
        <w:t>15% первоначально определенн</w:t>
      </w:r>
      <w:r w:rsidR="00815979" w:rsidRPr="00071356">
        <w:rPr>
          <w:bCs/>
          <w:lang w:val="ru-RU"/>
        </w:rPr>
        <w:t xml:space="preserve">ое количество </w:t>
      </w:r>
      <w:r w:rsidR="00D46423" w:rsidRPr="00071356">
        <w:rPr>
          <w:bCs/>
          <w:lang w:val="ru-RU"/>
        </w:rPr>
        <w:t xml:space="preserve">товаров и услуг без изменения единичных </w:t>
      </w:r>
      <w:r w:rsidR="00815979" w:rsidRPr="00071356">
        <w:rPr>
          <w:bCs/>
          <w:lang w:val="ru-RU"/>
        </w:rPr>
        <w:t>рас</w:t>
      </w:r>
      <w:r w:rsidR="00D46423" w:rsidRPr="00071356">
        <w:rPr>
          <w:bCs/>
          <w:lang w:val="ru-RU"/>
        </w:rPr>
        <w:t>цен</w:t>
      </w:r>
      <w:r w:rsidR="00815979" w:rsidRPr="00071356">
        <w:rPr>
          <w:bCs/>
          <w:lang w:val="ru-RU"/>
        </w:rPr>
        <w:t>ок</w:t>
      </w:r>
      <w:r w:rsidR="00D46423" w:rsidRPr="00071356">
        <w:rPr>
          <w:bCs/>
          <w:lang w:val="ru-RU"/>
        </w:rPr>
        <w:t xml:space="preserve"> и иных условий и сроков контракта. </w:t>
      </w:r>
    </w:p>
    <w:p w:rsidR="000F5F2D" w:rsidRPr="00071356" w:rsidRDefault="000F5F2D" w:rsidP="005F0652">
      <w:pPr>
        <w:ind w:left="142"/>
        <w:jc w:val="both"/>
        <w:rPr>
          <w:bCs/>
          <w:lang w:val="ru-RU"/>
        </w:rPr>
      </w:pPr>
    </w:p>
    <w:p w:rsidR="00797792" w:rsidRPr="00071356" w:rsidRDefault="005018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4</w:t>
      </w:r>
      <w:r w:rsidR="00797792" w:rsidRPr="00071356">
        <w:rPr>
          <w:lang w:val="ru-RU"/>
        </w:rPr>
        <w:t>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Pr="00071356">
        <w:rPr>
          <w:lang w:val="ru-RU"/>
        </w:rPr>
        <w:t xml:space="preserve">, но не позднее </w:t>
      </w:r>
      <w:r w:rsidR="0060494A" w:rsidRPr="00071356">
        <w:rPr>
          <w:lang w:val="ru-RU"/>
        </w:rPr>
        <w:t>30</w:t>
      </w:r>
      <w:r w:rsidRPr="00071356">
        <w:rPr>
          <w:lang w:val="ru-RU"/>
        </w:rPr>
        <w:t xml:space="preserve"> календарных дней с</w:t>
      </w:r>
      <w:r w:rsidR="001D00A3" w:rsidRPr="00071356">
        <w:rPr>
          <w:lang w:val="ru-RU"/>
        </w:rPr>
        <w:t xml:space="preserve"> даты </w:t>
      </w:r>
      <w:r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797792" w:rsidRPr="00B14263" w:rsidRDefault="00797792" w:rsidP="005F0652">
      <w:pPr>
        <w:jc w:val="both"/>
        <w:rPr>
          <w:lang w:val="ru-RU"/>
        </w:rPr>
      </w:pPr>
    </w:p>
    <w:p w:rsidR="00991E47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>5</w:t>
      </w:r>
      <w:r w:rsidR="00797792" w:rsidRPr="00B14263">
        <w:rPr>
          <w:lang w:val="ru-RU"/>
        </w:rPr>
        <w:t>.</w:t>
      </w:r>
      <w:r w:rsidR="00797792"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составлен </w:t>
      </w:r>
      <w:r w:rsidR="001269D3" w:rsidRPr="00B14263">
        <w:rPr>
          <w:lang w:val="ru-RU"/>
        </w:rPr>
        <w:t xml:space="preserve">и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5F0652">
      <w:pPr>
        <w:ind w:left="142"/>
        <w:jc w:val="both"/>
        <w:rPr>
          <w:color w:val="FF0000"/>
          <w:lang w:val="ru-RU"/>
        </w:rPr>
      </w:pPr>
    </w:p>
    <w:p w:rsidR="004510DA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lastRenderedPageBreak/>
        <w:t>6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882E04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7. </w:t>
      </w:r>
      <w:r w:rsidR="004510DA" w:rsidRPr="00B14263">
        <w:rPr>
          <w:u w:val="single"/>
          <w:lang w:val="ru-RU"/>
        </w:rPr>
        <w:t>Поставка товаров.</w:t>
      </w:r>
      <w:r w:rsidR="004510DA" w:rsidRPr="004642B7">
        <w:rPr>
          <w:lang w:val="ru-RU"/>
        </w:rPr>
        <w:t xml:space="preserve">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>должна осуществляться до указанного места назначения</w:t>
      </w:r>
      <w:r w:rsidR="004642B7">
        <w:rPr>
          <w:lang w:val="ru-RU"/>
        </w:rPr>
        <w:t>.</w:t>
      </w:r>
      <w:r w:rsidR="00882E04">
        <w:rPr>
          <w:lang w:val="ru-RU"/>
        </w:rPr>
        <w:t xml:space="preserve"> </w:t>
      </w:r>
    </w:p>
    <w:p w:rsidR="00882E04" w:rsidRDefault="00882E04" w:rsidP="005F0652">
      <w:pPr>
        <w:ind w:left="142"/>
        <w:jc w:val="both"/>
        <w:rPr>
          <w:lang w:val="ru-RU"/>
        </w:rPr>
      </w:pPr>
    </w:p>
    <w:p w:rsidR="00B14263" w:rsidRDefault="00882E04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8. </w:t>
      </w:r>
      <w:r w:rsidRPr="00B14263">
        <w:rPr>
          <w:u w:val="single"/>
          <w:lang w:val="ru-RU"/>
        </w:rPr>
        <w:t>Документация</w:t>
      </w:r>
      <w:r w:rsidRPr="00071356">
        <w:rPr>
          <w:b/>
          <w:u w:val="single"/>
          <w:lang w:val="ru-RU"/>
        </w:rPr>
        <w:t>:</w:t>
      </w:r>
      <w:r>
        <w:rPr>
          <w:b/>
          <w:lang w:val="ru-RU"/>
        </w:rPr>
        <w:t xml:space="preserve"> </w:t>
      </w:r>
      <w:r w:rsidRPr="00882E04">
        <w:rPr>
          <w:lang w:val="ru-RU"/>
        </w:rPr>
        <w:t>Передача товара осуществляется</w:t>
      </w:r>
      <w:r>
        <w:rPr>
          <w:b/>
          <w:lang w:val="ru-RU"/>
        </w:rPr>
        <w:t xml:space="preserve">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5F0652" w:rsidRDefault="005F0652" w:rsidP="005F0652">
      <w:pPr>
        <w:ind w:left="142"/>
        <w:jc w:val="both"/>
        <w:rPr>
          <w:lang w:val="ru-RU"/>
        </w:rPr>
      </w:pPr>
    </w:p>
    <w:p w:rsidR="0060494A" w:rsidRPr="00B14263" w:rsidRDefault="00B16A06" w:rsidP="005F0652">
      <w:pPr>
        <w:ind w:left="142"/>
        <w:jc w:val="both"/>
        <w:rPr>
          <w:bCs/>
          <w:sz w:val="16"/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после приемки товаров в течение тридцати (30) дней со дня подписания Покупателем Акта приемки поставки. </w:t>
      </w:r>
      <w:r w:rsidR="004642B7">
        <w:rPr>
          <w:bCs/>
          <w:lang w:val="ru-RU"/>
        </w:rPr>
        <w:t xml:space="preserve">Оплата будет производиться безналичным платежом. </w:t>
      </w:r>
    </w:p>
    <w:p w:rsidR="00797792" w:rsidRPr="00B14263" w:rsidRDefault="00F40912" w:rsidP="005F0652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1B5666" w:rsidRDefault="00B16A06" w:rsidP="005F0652">
      <w:pPr>
        <w:tabs>
          <w:tab w:val="left" w:pos="142"/>
        </w:tabs>
        <w:ind w:left="142"/>
        <w:jc w:val="both"/>
        <w:rPr>
          <w:sz w:val="28"/>
          <w:lang w:val="ru-RU"/>
        </w:rPr>
      </w:pPr>
      <w:r>
        <w:rPr>
          <w:lang w:val="ru-RU"/>
        </w:rPr>
        <w:t>10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1B5666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797792" w:rsidRPr="001B5666" w:rsidRDefault="00895DFB" w:rsidP="005F0652">
      <w:pPr>
        <w:tabs>
          <w:tab w:val="left" w:pos="142"/>
        </w:tabs>
        <w:ind w:left="142"/>
        <w:jc w:val="both"/>
        <w:rPr>
          <w:sz w:val="28"/>
          <w:u w:val="single"/>
          <w:lang w:val="ru-RU"/>
        </w:rPr>
      </w:pPr>
      <w:r w:rsidRPr="001B5666">
        <w:rPr>
          <w:sz w:val="28"/>
          <w:u w:val="single"/>
          <w:lang w:val="ru-RU"/>
        </w:rPr>
        <w:t xml:space="preserve">  </w:t>
      </w:r>
    </w:p>
    <w:p w:rsidR="009712C9" w:rsidRPr="00B14263" w:rsidRDefault="003536A9" w:rsidP="005F0652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1</w:t>
      </w:r>
      <w:r>
        <w:rPr>
          <w:lang w:val="ru-RU"/>
        </w:rPr>
        <w:t xml:space="preserve">. </w:t>
      </w:r>
      <w:r w:rsidR="009712C9" w:rsidRPr="00B14263">
        <w:rPr>
          <w:u w:val="single"/>
          <w:lang w:val="ru-RU"/>
        </w:rPr>
        <w:t>Дефекты:</w:t>
      </w:r>
      <w:r w:rsidR="009712C9" w:rsidRPr="004642B7">
        <w:rPr>
          <w:lang w:val="ru-RU"/>
        </w:rPr>
        <w:t xml:space="preserve"> </w:t>
      </w:r>
      <w:r w:rsidR="009712C9" w:rsidRPr="00B14263">
        <w:rPr>
          <w:lang w:val="ru-RU"/>
        </w:rPr>
        <w:t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Адрес</w:t>
      </w:r>
      <w:r w:rsidR="00B16A06">
        <w:rPr>
          <w:lang w:val="ru-RU"/>
        </w:rPr>
        <w:t xml:space="preserve"> сервис центра Поставщика </w:t>
      </w:r>
      <w:r w:rsidR="009712C9" w:rsidRPr="00B14263">
        <w:rPr>
          <w:lang w:val="ru-RU"/>
        </w:rPr>
        <w:t>________________________________________________</w:t>
      </w:r>
      <w:r w:rsidR="00B16A06">
        <w:rPr>
          <w:lang w:val="ru-RU"/>
        </w:rPr>
        <w:t>______________</w:t>
      </w:r>
      <w:r w:rsidR="009712C9" w:rsidRPr="00B14263">
        <w:rPr>
          <w:lang w:val="ru-RU"/>
        </w:rPr>
        <w:t>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 w:rsidRPr="00B14263">
        <w:rPr>
          <w:lang w:val="ru-RU"/>
        </w:rPr>
        <w:t>1</w:t>
      </w:r>
      <w:r w:rsidR="004642B7">
        <w:rPr>
          <w:lang w:val="ru-RU"/>
        </w:rPr>
        <w:t>2</w:t>
      </w:r>
      <w:r w:rsidRPr="00B14263">
        <w:rPr>
          <w:color w:val="000000" w:themeColor="text1"/>
          <w:lang w:val="ru-RU"/>
        </w:rPr>
        <w:t xml:space="preserve">.   </w:t>
      </w:r>
      <w:r w:rsidRPr="00B14263">
        <w:rPr>
          <w:color w:val="000000" w:themeColor="text1"/>
          <w:u w:val="single"/>
          <w:lang w:val="ru-RU"/>
        </w:rPr>
        <w:t>Форс-мажор:</w:t>
      </w:r>
      <w:r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3536A9" w:rsidRPr="00071356">
        <w:rPr>
          <w:color w:val="000000" w:themeColor="text1"/>
          <w:lang w:val="ru-RU"/>
        </w:rPr>
        <w:t>отсутствии</w:t>
      </w:r>
      <w:r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4642B7">
        <w:rPr>
          <w:u w:val="single"/>
          <w:lang w:val="ru-RU"/>
        </w:rPr>
        <w:t>3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lastRenderedPageBreak/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B14263" w:rsidRDefault="00B14263" w:rsidP="00B14263">
      <w:pPr>
        <w:jc w:val="center"/>
        <w:rPr>
          <w:b/>
          <w:lang w:val="ru-RU"/>
        </w:rPr>
      </w:pPr>
      <w:r w:rsidRPr="00071356">
        <w:rPr>
          <w:b/>
          <w:lang w:val="ru-RU"/>
        </w:rPr>
        <w:t>Технические спецификации</w:t>
      </w:r>
    </w:p>
    <w:p w:rsidR="00B14263" w:rsidRPr="00071356" w:rsidRDefault="00B14263" w:rsidP="00071356">
      <w:pPr>
        <w:jc w:val="center"/>
        <w:rPr>
          <w:b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678"/>
        <w:gridCol w:w="1984"/>
      </w:tblGrid>
      <w:tr w:rsidR="00B14263" w:rsidRPr="007B5D13" w:rsidTr="000A5B1C">
        <w:tc>
          <w:tcPr>
            <w:tcW w:w="392" w:type="dxa"/>
            <w:shd w:val="clear" w:color="auto" w:fill="E0E0E0"/>
          </w:tcPr>
          <w:p w:rsidR="00B14263" w:rsidRDefault="00B14263" w:rsidP="00E93B48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t>№</w:t>
            </w:r>
          </w:p>
          <w:p w:rsidR="00B14263" w:rsidRPr="0040742E" w:rsidRDefault="00B14263" w:rsidP="00E93B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shd w:val="clear" w:color="auto" w:fill="E0E0E0"/>
          </w:tcPr>
          <w:p w:rsidR="00B14263" w:rsidRPr="0040742E" w:rsidRDefault="00B14263" w:rsidP="00E93B48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4678" w:type="dxa"/>
            <w:shd w:val="clear" w:color="auto" w:fill="E0E0E0"/>
          </w:tcPr>
          <w:p w:rsidR="00B14263" w:rsidRPr="009B47AE" w:rsidRDefault="00B14263" w:rsidP="00E93B48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Спецификации</w:t>
            </w:r>
            <w:proofErr w:type="spellEnd"/>
          </w:p>
        </w:tc>
        <w:tc>
          <w:tcPr>
            <w:tcW w:w="1984" w:type="dxa"/>
            <w:shd w:val="clear" w:color="auto" w:fill="E0E0E0"/>
            <w:vAlign w:val="center"/>
          </w:tcPr>
          <w:p w:rsidR="00B14263" w:rsidRPr="002D0A3F" w:rsidRDefault="002D0A3F" w:rsidP="00E93B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</w:t>
            </w:r>
            <w:r w:rsidR="000A5B1C">
              <w:rPr>
                <w:b/>
                <w:lang w:val="ru-RU"/>
              </w:rPr>
              <w:t xml:space="preserve"> (укажите соответствие)</w:t>
            </w:r>
          </w:p>
        </w:tc>
      </w:tr>
      <w:tr w:rsidR="00983472" w:rsidRPr="002D53A1" w:rsidTr="000A5B1C">
        <w:tc>
          <w:tcPr>
            <w:tcW w:w="392" w:type="dxa"/>
            <w:shd w:val="clear" w:color="auto" w:fill="FFFFFF"/>
          </w:tcPr>
          <w:p w:rsidR="00983472" w:rsidRPr="00082B67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:rsidR="00983472" w:rsidRPr="00A52B09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>Кровать детская двухъярусная</w:t>
            </w:r>
          </w:p>
        </w:tc>
        <w:tc>
          <w:tcPr>
            <w:tcW w:w="4678" w:type="dxa"/>
          </w:tcPr>
          <w:p w:rsidR="00983472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Материал товара: ламинированная ДСП </w:t>
            </w:r>
            <w:r w:rsidR="00034487">
              <w:rPr>
                <w:lang w:val="ru-RU"/>
              </w:rPr>
              <w:t>(</w:t>
            </w:r>
            <w:r>
              <w:rPr>
                <w:lang w:val="ru-RU"/>
              </w:rPr>
              <w:t>мин. 16 мм</w:t>
            </w:r>
            <w:r w:rsidR="00034487">
              <w:rPr>
                <w:lang w:val="ru-RU"/>
              </w:rPr>
              <w:t>)</w:t>
            </w:r>
            <w:r w:rsidR="00845419">
              <w:rPr>
                <w:lang w:val="ru-RU"/>
              </w:rPr>
              <w:t xml:space="preserve"> </w:t>
            </w:r>
          </w:p>
          <w:p w:rsidR="00983472" w:rsidRDefault="00983472" w:rsidP="00983472">
            <w:pPr>
              <w:rPr>
                <w:lang w:val="ru-RU"/>
              </w:rPr>
            </w:pPr>
          </w:p>
          <w:p w:rsidR="00983472" w:rsidRPr="003E3F65" w:rsidRDefault="00983472" w:rsidP="00983472">
            <w:pPr>
              <w:rPr>
                <w:b/>
                <w:lang w:val="ru-RU"/>
              </w:rPr>
            </w:pPr>
            <w:r w:rsidRPr="003E3F65">
              <w:rPr>
                <w:b/>
                <w:lang w:val="ru-RU"/>
              </w:rPr>
              <w:t>Размеры товара</w:t>
            </w:r>
          </w:p>
          <w:p w:rsidR="003E3F65" w:rsidRPr="00983472" w:rsidRDefault="003E3F65" w:rsidP="00983472">
            <w:pPr>
              <w:rPr>
                <w:lang w:val="ru-RU"/>
              </w:rPr>
            </w:pPr>
            <w:r w:rsidRPr="003E3F65">
              <w:rPr>
                <w:lang w:val="ru-RU"/>
              </w:rPr>
              <w:t>Спальное место</w:t>
            </w:r>
            <w:r>
              <w:rPr>
                <w:lang w:val="ru-RU"/>
              </w:rPr>
              <w:t>:</w:t>
            </w:r>
          </w:p>
          <w:p w:rsidR="00983472" w:rsidRPr="00983472" w:rsidRDefault="00983472" w:rsidP="00983472">
            <w:pPr>
              <w:rPr>
                <w:lang w:val="ru-RU"/>
              </w:rPr>
            </w:pPr>
            <w:r w:rsidRPr="00983472">
              <w:rPr>
                <w:lang w:val="ru-RU"/>
              </w:rPr>
              <w:t xml:space="preserve">Длина: </w:t>
            </w:r>
            <w:r>
              <w:rPr>
                <w:lang w:val="ru-RU"/>
              </w:rPr>
              <w:t>120</w:t>
            </w:r>
            <w:r w:rsidRPr="00983472">
              <w:rPr>
                <w:lang w:val="ru-RU"/>
              </w:rPr>
              <w:t xml:space="preserve"> см</w:t>
            </w:r>
          </w:p>
          <w:p w:rsidR="00983472" w:rsidRDefault="00983472" w:rsidP="00983472">
            <w:pPr>
              <w:rPr>
                <w:lang w:val="ru-RU"/>
              </w:rPr>
            </w:pPr>
            <w:r w:rsidRPr="00983472">
              <w:rPr>
                <w:lang w:val="ru-RU"/>
              </w:rPr>
              <w:t xml:space="preserve">Ширина: </w:t>
            </w:r>
            <w:r>
              <w:rPr>
                <w:lang w:val="ru-RU"/>
              </w:rPr>
              <w:t>60</w:t>
            </w:r>
            <w:r w:rsidRPr="00983472">
              <w:rPr>
                <w:lang w:val="ru-RU"/>
              </w:rPr>
              <w:t xml:space="preserve"> см</w:t>
            </w:r>
          </w:p>
          <w:p w:rsidR="00946242" w:rsidRDefault="00946242" w:rsidP="00983472">
            <w:pPr>
              <w:rPr>
                <w:lang w:val="ru-RU"/>
              </w:rPr>
            </w:pPr>
          </w:p>
          <w:p w:rsidR="00983472" w:rsidRPr="002413ED" w:rsidRDefault="00983472" w:rsidP="00983472">
            <w:pPr>
              <w:rPr>
                <w:lang w:val="ru-RU"/>
              </w:rPr>
            </w:pPr>
            <w:r w:rsidRPr="00983472">
              <w:rPr>
                <w:lang w:val="ru-RU"/>
              </w:rPr>
              <w:t>Высота</w:t>
            </w:r>
            <w:r w:rsidR="00946242">
              <w:rPr>
                <w:lang w:val="ru-RU"/>
              </w:rPr>
              <w:t xml:space="preserve"> кровати</w:t>
            </w:r>
            <w:r w:rsidRPr="00983472">
              <w:rPr>
                <w:lang w:val="ru-RU"/>
              </w:rPr>
              <w:t>: 1</w:t>
            </w:r>
            <w:r>
              <w:rPr>
                <w:lang w:val="ru-RU"/>
              </w:rPr>
              <w:t>2</w:t>
            </w:r>
            <w:r w:rsidRPr="00983472">
              <w:rPr>
                <w:lang w:val="ru-RU"/>
              </w:rPr>
              <w:t>0.0 см</w:t>
            </w:r>
          </w:p>
        </w:tc>
        <w:tc>
          <w:tcPr>
            <w:tcW w:w="1984" w:type="dxa"/>
            <w:vAlign w:val="center"/>
          </w:tcPr>
          <w:p w:rsidR="00983472" w:rsidRPr="00EE0D8D" w:rsidRDefault="00983472" w:rsidP="00983472">
            <w:pPr>
              <w:jc w:val="center"/>
              <w:rPr>
                <w:lang w:val="ru-RU"/>
              </w:rPr>
            </w:pPr>
          </w:p>
        </w:tc>
      </w:tr>
      <w:tr w:rsidR="00983472" w:rsidRPr="00983472" w:rsidTr="000A5B1C">
        <w:tc>
          <w:tcPr>
            <w:tcW w:w="392" w:type="dxa"/>
            <w:shd w:val="clear" w:color="auto" w:fill="FFFFFF"/>
          </w:tcPr>
          <w:p w:rsidR="00983472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983472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>Шкафы гардеробные для детской одежды с 3-мя отделениями</w:t>
            </w:r>
          </w:p>
        </w:tc>
        <w:tc>
          <w:tcPr>
            <w:tcW w:w="4678" w:type="dxa"/>
          </w:tcPr>
          <w:p w:rsidR="00983472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Материал товара: ламинированная ДСП </w:t>
            </w:r>
            <w:r w:rsidR="00034487">
              <w:rPr>
                <w:lang w:val="ru-RU"/>
              </w:rPr>
              <w:t>(</w:t>
            </w:r>
            <w:r>
              <w:rPr>
                <w:lang w:val="ru-RU"/>
              </w:rPr>
              <w:t>мин. 16 мм</w:t>
            </w:r>
            <w:r w:rsidR="00034487">
              <w:rPr>
                <w:lang w:val="ru-RU"/>
              </w:rPr>
              <w:t>)</w:t>
            </w:r>
          </w:p>
          <w:p w:rsidR="003E3F65" w:rsidRDefault="003E3F65" w:rsidP="00983472">
            <w:pPr>
              <w:rPr>
                <w:lang w:val="ru-RU"/>
              </w:rPr>
            </w:pPr>
            <w:r>
              <w:rPr>
                <w:lang w:val="ru-RU"/>
              </w:rPr>
              <w:t>3 отделения с дверями</w:t>
            </w:r>
          </w:p>
          <w:p w:rsidR="00983472" w:rsidRDefault="00983472" w:rsidP="00983472">
            <w:pPr>
              <w:rPr>
                <w:lang w:val="ru-RU"/>
              </w:rPr>
            </w:pPr>
          </w:p>
          <w:p w:rsidR="00983472" w:rsidRPr="003E3F65" w:rsidRDefault="00983472" w:rsidP="00983472">
            <w:pPr>
              <w:rPr>
                <w:b/>
                <w:lang w:val="ru-RU"/>
              </w:rPr>
            </w:pPr>
            <w:r w:rsidRPr="003E3F65">
              <w:rPr>
                <w:b/>
                <w:lang w:val="ru-RU"/>
              </w:rPr>
              <w:t>Размеры товара</w:t>
            </w:r>
          </w:p>
          <w:p w:rsidR="00983472" w:rsidRPr="00983472" w:rsidRDefault="00983472" w:rsidP="00983472">
            <w:pPr>
              <w:rPr>
                <w:lang w:val="ru-RU"/>
              </w:rPr>
            </w:pPr>
            <w:r w:rsidRPr="00983472">
              <w:rPr>
                <w:lang w:val="ru-RU"/>
              </w:rPr>
              <w:t xml:space="preserve">Длина: </w:t>
            </w:r>
            <w:r>
              <w:rPr>
                <w:lang w:val="ru-RU"/>
              </w:rPr>
              <w:t>120</w:t>
            </w:r>
            <w:r w:rsidRPr="00983472">
              <w:rPr>
                <w:lang w:val="ru-RU"/>
              </w:rPr>
              <w:t xml:space="preserve"> см</w:t>
            </w:r>
          </w:p>
          <w:p w:rsidR="00983472" w:rsidRPr="00983472" w:rsidRDefault="00946242" w:rsidP="00983472">
            <w:pPr>
              <w:rPr>
                <w:lang w:val="ru-RU"/>
              </w:rPr>
            </w:pPr>
            <w:r>
              <w:rPr>
                <w:lang w:val="ru-RU"/>
              </w:rPr>
              <w:t>Глубина</w:t>
            </w:r>
            <w:r w:rsidR="00983472" w:rsidRPr="00983472">
              <w:rPr>
                <w:lang w:val="ru-RU"/>
              </w:rPr>
              <w:t xml:space="preserve">: </w:t>
            </w:r>
            <w:r w:rsidR="00983472">
              <w:rPr>
                <w:lang w:val="ru-RU"/>
              </w:rPr>
              <w:t>30</w:t>
            </w:r>
            <w:r w:rsidR="00983472" w:rsidRPr="00983472">
              <w:rPr>
                <w:lang w:val="ru-RU"/>
              </w:rPr>
              <w:t xml:space="preserve"> см</w:t>
            </w:r>
          </w:p>
          <w:p w:rsidR="00983472" w:rsidRPr="002413ED" w:rsidRDefault="00983472" w:rsidP="00983472">
            <w:pPr>
              <w:rPr>
                <w:lang w:val="ru-RU"/>
              </w:rPr>
            </w:pPr>
            <w:r w:rsidRPr="00983472">
              <w:rPr>
                <w:lang w:val="ru-RU"/>
              </w:rPr>
              <w:t>Высота: 1</w:t>
            </w:r>
            <w:r>
              <w:rPr>
                <w:lang w:val="ru-RU"/>
              </w:rPr>
              <w:t>3</w:t>
            </w:r>
            <w:r w:rsidRPr="00983472">
              <w:rPr>
                <w:lang w:val="ru-RU"/>
              </w:rPr>
              <w:t>0.0 см</w:t>
            </w:r>
          </w:p>
        </w:tc>
        <w:tc>
          <w:tcPr>
            <w:tcW w:w="1984" w:type="dxa"/>
            <w:vAlign w:val="center"/>
          </w:tcPr>
          <w:p w:rsidR="00983472" w:rsidRPr="00EE0D8D" w:rsidRDefault="00983472" w:rsidP="00983472">
            <w:pPr>
              <w:jc w:val="center"/>
              <w:rPr>
                <w:lang w:val="ru-RU"/>
              </w:rPr>
            </w:pPr>
          </w:p>
        </w:tc>
      </w:tr>
      <w:tr w:rsidR="00983472" w:rsidRPr="00983472" w:rsidTr="000A5B1C">
        <w:tc>
          <w:tcPr>
            <w:tcW w:w="392" w:type="dxa"/>
            <w:shd w:val="clear" w:color="auto" w:fill="FFFFFF"/>
          </w:tcPr>
          <w:p w:rsidR="00983472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983472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>Парта ученическая</w:t>
            </w:r>
            <w:r w:rsidR="00034487">
              <w:rPr>
                <w:lang w:val="ru-RU"/>
              </w:rPr>
              <w:t xml:space="preserve"> 2-х местная</w:t>
            </w:r>
          </w:p>
        </w:tc>
        <w:tc>
          <w:tcPr>
            <w:tcW w:w="4678" w:type="dxa"/>
          </w:tcPr>
          <w:p w:rsidR="003E3F65" w:rsidRDefault="003E3F65" w:rsidP="003E3F65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Материал товара: ламинированная ДСП </w:t>
            </w:r>
            <w:r w:rsidR="002C57A1">
              <w:rPr>
                <w:lang w:val="ru-RU"/>
              </w:rPr>
              <w:t>с металлическим основанием</w:t>
            </w:r>
            <w:r w:rsidR="002D53A1">
              <w:rPr>
                <w:lang w:val="ru-RU"/>
              </w:rPr>
              <w:t>, покрытым порошковым покрытием</w:t>
            </w:r>
          </w:p>
          <w:p w:rsidR="003E3F65" w:rsidRDefault="003E3F65" w:rsidP="003E3F65">
            <w:pPr>
              <w:rPr>
                <w:lang w:val="ru-RU"/>
              </w:rPr>
            </w:pPr>
          </w:p>
          <w:p w:rsidR="003E3F65" w:rsidRPr="00845419" w:rsidRDefault="003E3F65" w:rsidP="003E3F65">
            <w:pPr>
              <w:rPr>
                <w:b/>
                <w:lang w:val="ru-RU"/>
              </w:rPr>
            </w:pPr>
            <w:r w:rsidRPr="00845419">
              <w:rPr>
                <w:b/>
                <w:lang w:val="ru-RU"/>
              </w:rPr>
              <w:t>Размеры товара</w:t>
            </w:r>
          </w:p>
          <w:p w:rsidR="003E3F65" w:rsidRPr="00983472" w:rsidRDefault="003E3F65" w:rsidP="003E3F65">
            <w:pPr>
              <w:rPr>
                <w:lang w:val="ru-RU"/>
              </w:rPr>
            </w:pPr>
            <w:r w:rsidRPr="00983472">
              <w:rPr>
                <w:lang w:val="ru-RU"/>
              </w:rPr>
              <w:t xml:space="preserve">Длина: </w:t>
            </w:r>
            <w:r>
              <w:rPr>
                <w:lang w:val="ru-RU"/>
              </w:rPr>
              <w:t>1</w:t>
            </w:r>
            <w:r w:rsidR="00B207EA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Pr="00983472">
              <w:rPr>
                <w:lang w:val="ru-RU"/>
              </w:rPr>
              <w:t xml:space="preserve"> см</w:t>
            </w:r>
          </w:p>
          <w:p w:rsidR="003E3F65" w:rsidRPr="00983472" w:rsidRDefault="003E3F65" w:rsidP="003E3F65">
            <w:pPr>
              <w:rPr>
                <w:lang w:val="ru-RU"/>
              </w:rPr>
            </w:pPr>
            <w:r w:rsidRPr="00983472">
              <w:rPr>
                <w:lang w:val="ru-RU"/>
              </w:rPr>
              <w:t xml:space="preserve">Ширина: </w:t>
            </w:r>
            <w:r>
              <w:rPr>
                <w:lang w:val="ru-RU"/>
              </w:rPr>
              <w:t>60</w:t>
            </w:r>
            <w:r w:rsidRPr="00983472">
              <w:rPr>
                <w:lang w:val="ru-RU"/>
              </w:rPr>
              <w:t xml:space="preserve"> см</w:t>
            </w:r>
          </w:p>
          <w:p w:rsidR="00983472" w:rsidRPr="002413ED" w:rsidRDefault="003E3F65" w:rsidP="00946242">
            <w:pPr>
              <w:rPr>
                <w:lang w:val="ru-RU"/>
              </w:rPr>
            </w:pPr>
            <w:r w:rsidRPr="00983472">
              <w:rPr>
                <w:lang w:val="ru-RU"/>
              </w:rPr>
              <w:t xml:space="preserve">Высота: </w:t>
            </w:r>
            <w:r>
              <w:rPr>
                <w:lang w:val="ru-RU"/>
              </w:rPr>
              <w:t>6</w:t>
            </w:r>
            <w:r w:rsidR="00946242">
              <w:rPr>
                <w:lang w:val="ru-RU"/>
              </w:rPr>
              <w:t>4</w:t>
            </w:r>
            <w:r w:rsidRPr="00983472">
              <w:rPr>
                <w:lang w:val="ru-RU"/>
              </w:rPr>
              <w:t>.0 см</w:t>
            </w:r>
          </w:p>
        </w:tc>
        <w:tc>
          <w:tcPr>
            <w:tcW w:w="1984" w:type="dxa"/>
            <w:vAlign w:val="center"/>
          </w:tcPr>
          <w:p w:rsidR="00983472" w:rsidRPr="00EE0D8D" w:rsidRDefault="00983472" w:rsidP="00983472">
            <w:pPr>
              <w:jc w:val="center"/>
              <w:rPr>
                <w:lang w:val="ru-RU"/>
              </w:rPr>
            </w:pPr>
          </w:p>
        </w:tc>
      </w:tr>
      <w:tr w:rsidR="00983472" w:rsidRPr="002D53A1" w:rsidTr="000A5B1C">
        <w:tc>
          <w:tcPr>
            <w:tcW w:w="392" w:type="dxa"/>
            <w:shd w:val="clear" w:color="auto" w:fill="FFFFFF"/>
          </w:tcPr>
          <w:p w:rsidR="00983472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6" w:type="dxa"/>
          </w:tcPr>
          <w:p w:rsidR="00983472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>Стулья ученические</w:t>
            </w:r>
          </w:p>
        </w:tc>
        <w:tc>
          <w:tcPr>
            <w:tcW w:w="4678" w:type="dxa"/>
          </w:tcPr>
          <w:p w:rsidR="003E3F65" w:rsidRDefault="003E3F65" w:rsidP="003E3F65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Материал товара: фанера </w:t>
            </w:r>
            <w:r w:rsidR="00034487">
              <w:rPr>
                <w:lang w:val="ru-RU"/>
              </w:rPr>
              <w:t>с металлическим основанием</w:t>
            </w:r>
            <w:r w:rsidR="002D53A1">
              <w:rPr>
                <w:lang w:val="ru-RU"/>
              </w:rPr>
              <w:t>, покрытым порошковым покрытием</w:t>
            </w:r>
            <w:bookmarkStart w:id="0" w:name="_GoBack"/>
            <w:bookmarkEnd w:id="0"/>
          </w:p>
          <w:p w:rsidR="003E3F65" w:rsidRDefault="003E3F65" w:rsidP="003E3F65">
            <w:pPr>
              <w:rPr>
                <w:lang w:val="ru-RU"/>
              </w:rPr>
            </w:pPr>
          </w:p>
          <w:p w:rsidR="003E3F65" w:rsidRPr="00845419" w:rsidRDefault="003E3F65" w:rsidP="003E3F65">
            <w:pPr>
              <w:rPr>
                <w:b/>
                <w:lang w:val="ru-RU"/>
              </w:rPr>
            </w:pPr>
            <w:r w:rsidRPr="00845419">
              <w:rPr>
                <w:b/>
                <w:lang w:val="ru-RU"/>
              </w:rPr>
              <w:t>Размеры товара</w:t>
            </w:r>
          </w:p>
          <w:p w:rsidR="003E3F65" w:rsidRPr="00983472" w:rsidRDefault="00946242" w:rsidP="003E3F65">
            <w:pPr>
              <w:rPr>
                <w:lang w:val="ru-RU"/>
              </w:rPr>
            </w:pPr>
            <w:r w:rsidRPr="00983472">
              <w:rPr>
                <w:lang w:val="ru-RU"/>
              </w:rPr>
              <w:t>Ширина</w:t>
            </w:r>
            <w:r>
              <w:rPr>
                <w:lang w:val="ru-RU"/>
              </w:rPr>
              <w:t xml:space="preserve"> сиденья</w:t>
            </w:r>
            <w:r w:rsidR="003E3F65" w:rsidRPr="00983472">
              <w:rPr>
                <w:lang w:val="ru-RU"/>
              </w:rPr>
              <w:t xml:space="preserve">: </w:t>
            </w:r>
            <w:r w:rsidR="003E3F65">
              <w:rPr>
                <w:lang w:val="ru-RU"/>
              </w:rPr>
              <w:t>3</w:t>
            </w:r>
            <w:r>
              <w:rPr>
                <w:lang w:val="ru-RU"/>
              </w:rPr>
              <w:t>2</w:t>
            </w:r>
            <w:r w:rsidR="003E3F65" w:rsidRPr="00983472">
              <w:rPr>
                <w:lang w:val="ru-RU"/>
              </w:rPr>
              <w:t xml:space="preserve"> см</w:t>
            </w:r>
          </w:p>
          <w:p w:rsidR="003E3F65" w:rsidRPr="00983472" w:rsidRDefault="00946242" w:rsidP="003E3F65">
            <w:pPr>
              <w:rPr>
                <w:lang w:val="ru-RU"/>
              </w:rPr>
            </w:pPr>
            <w:r>
              <w:rPr>
                <w:lang w:val="ru-RU"/>
              </w:rPr>
              <w:t>Глубина сиденья</w:t>
            </w:r>
            <w:r w:rsidR="003E3F65" w:rsidRPr="00983472">
              <w:rPr>
                <w:lang w:val="ru-RU"/>
              </w:rPr>
              <w:t xml:space="preserve">: </w:t>
            </w:r>
            <w:r w:rsidR="003E3F65">
              <w:rPr>
                <w:lang w:val="ru-RU"/>
              </w:rPr>
              <w:t>3</w:t>
            </w:r>
            <w:r>
              <w:rPr>
                <w:lang w:val="ru-RU"/>
              </w:rPr>
              <w:t>6</w:t>
            </w:r>
            <w:r w:rsidR="003E3F65" w:rsidRPr="00983472">
              <w:rPr>
                <w:lang w:val="ru-RU"/>
              </w:rPr>
              <w:t xml:space="preserve"> см</w:t>
            </w:r>
          </w:p>
          <w:p w:rsidR="00983472" w:rsidRDefault="003E3F65" w:rsidP="003E3F65">
            <w:pPr>
              <w:rPr>
                <w:lang w:val="ru-RU"/>
              </w:rPr>
            </w:pPr>
            <w:r w:rsidRPr="00983472">
              <w:rPr>
                <w:lang w:val="ru-RU"/>
              </w:rPr>
              <w:t>Высота</w:t>
            </w:r>
            <w:r w:rsidR="00034487">
              <w:rPr>
                <w:lang w:val="ru-RU"/>
              </w:rPr>
              <w:t xml:space="preserve"> сиденья</w:t>
            </w:r>
            <w:r w:rsidRPr="00983472">
              <w:rPr>
                <w:lang w:val="ru-RU"/>
              </w:rPr>
              <w:t xml:space="preserve">: </w:t>
            </w:r>
            <w:r w:rsidR="00946242">
              <w:rPr>
                <w:lang w:val="ru-RU"/>
              </w:rPr>
              <w:t>38</w:t>
            </w:r>
            <w:r w:rsidRPr="00983472">
              <w:rPr>
                <w:lang w:val="ru-RU"/>
              </w:rPr>
              <w:t>.0 см</w:t>
            </w:r>
          </w:p>
          <w:p w:rsidR="00034487" w:rsidRPr="002413ED" w:rsidRDefault="00034487" w:rsidP="00946242">
            <w:pPr>
              <w:rPr>
                <w:lang w:val="ru-RU"/>
              </w:rPr>
            </w:pPr>
            <w:r>
              <w:rPr>
                <w:lang w:val="ru-RU"/>
              </w:rPr>
              <w:t xml:space="preserve">Высота </w:t>
            </w:r>
            <w:r w:rsidR="00946242">
              <w:rPr>
                <w:lang w:val="ru-RU"/>
              </w:rPr>
              <w:t>спинки</w:t>
            </w:r>
            <w:r>
              <w:rPr>
                <w:lang w:val="ru-RU"/>
              </w:rPr>
              <w:t xml:space="preserve">: </w:t>
            </w:r>
            <w:r w:rsidR="00946242">
              <w:rPr>
                <w:lang w:val="ru-RU"/>
              </w:rPr>
              <w:t>71,0 см</w:t>
            </w:r>
          </w:p>
        </w:tc>
        <w:tc>
          <w:tcPr>
            <w:tcW w:w="1984" w:type="dxa"/>
            <w:vAlign w:val="center"/>
          </w:tcPr>
          <w:p w:rsidR="00983472" w:rsidRPr="00EE0D8D" w:rsidRDefault="00983472" w:rsidP="00983472">
            <w:pPr>
              <w:jc w:val="center"/>
              <w:rPr>
                <w:lang w:val="ru-RU"/>
              </w:rPr>
            </w:pPr>
          </w:p>
        </w:tc>
      </w:tr>
      <w:tr w:rsidR="00983472" w:rsidRPr="00983472" w:rsidTr="000A5B1C">
        <w:tc>
          <w:tcPr>
            <w:tcW w:w="392" w:type="dxa"/>
            <w:shd w:val="clear" w:color="auto" w:fill="FFFFFF"/>
          </w:tcPr>
          <w:p w:rsidR="00983472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6" w:type="dxa"/>
          </w:tcPr>
          <w:p w:rsidR="00983472" w:rsidRDefault="00983472" w:rsidP="00983472">
            <w:pPr>
              <w:rPr>
                <w:lang w:val="ru-RU"/>
              </w:rPr>
            </w:pPr>
            <w:r>
              <w:rPr>
                <w:lang w:val="ru-RU"/>
              </w:rPr>
              <w:t xml:space="preserve">Шкаф книжный </w:t>
            </w:r>
          </w:p>
        </w:tc>
        <w:tc>
          <w:tcPr>
            <w:tcW w:w="4678" w:type="dxa"/>
          </w:tcPr>
          <w:p w:rsidR="002D0239" w:rsidRDefault="002D0239" w:rsidP="002D0239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Материал товара: ламинированная ДСП </w:t>
            </w:r>
            <w:r w:rsidR="00034487">
              <w:rPr>
                <w:lang w:val="ru-RU"/>
              </w:rPr>
              <w:t>(</w:t>
            </w:r>
            <w:r>
              <w:rPr>
                <w:lang w:val="ru-RU"/>
              </w:rPr>
              <w:t>мин. 16 мм</w:t>
            </w:r>
            <w:r w:rsidR="00034487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</w:p>
          <w:p w:rsidR="002D0239" w:rsidRDefault="002D0239" w:rsidP="002D0239">
            <w:pPr>
              <w:rPr>
                <w:lang w:val="ru-RU"/>
              </w:rPr>
            </w:pPr>
          </w:p>
          <w:p w:rsidR="002D0239" w:rsidRPr="00845419" w:rsidRDefault="002D0239" w:rsidP="002D0239">
            <w:pPr>
              <w:rPr>
                <w:b/>
                <w:lang w:val="ru-RU"/>
              </w:rPr>
            </w:pPr>
            <w:r w:rsidRPr="00845419">
              <w:rPr>
                <w:b/>
                <w:lang w:val="ru-RU"/>
              </w:rPr>
              <w:t>Размеры товара</w:t>
            </w:r>
          </w:p>
          <w:p w:rsidR="002D0239" w:rsidRPr="00983472" w:rsidRDefault="002D0239" w:rsidP="002D0239">
            <w:pPr>
              <w:rPr>
                <w:lang w:val="ru-RU"/>
              </w:rPr>
            </w:pPr>
            <w:r w:rsidRPr="00983472">
              <w:rPr>
                <w:lang w:val="ru-RU"/>
              </w:rPr>
              <w:t xml:space="preserve">Длина: </w:t>
            </w:r>
            <w:r>
              <w:rPr>
                <w:lang w:val="ru-RU"/>
              </w:rPr>
              <w:t>120</w:t>
            </w:r>
            <w:r w:rsidRPr="00983472">
              <w:rPr>
                <w:lang w:val="ru-RU"/>
              </w:rPr>
              <w:t xml:space="preserve"> см</w:t>
            </w:r>
          </w:p>
          <w:p w:rsidR="002D0239" w:rsidRPr="00983472" w:rsidRDefault="00946242" w:rsidP="002D0239">
            <w:pPr>
              <w:rPr>
                <w:lang w:val="ru-RU"/>
              </w:rPr>
            </w:pPr>
            <w:r>
              <w:rPr>
                <w:lang w:val="ru-RU"/>
              </w:rPr>
              <w:t>Глубина</w:t>
            </w:r>
            <w:r w:rsidR="002D0239" w:rsidRPr="00983472">
              <w:rPr>
                <w:lang w:val="ru-RU"/>
              </w:rPr>
              <w:t xml:space="preserve">: </w:t>
            </w:r>
            <w:r>
              <w:rPr>
                <w:lang w:val="ru-RU"/>
              </w:rPr>
              <w:t>4</w:t>
            </w:r>
            <w:r w:rsidR="002D0239">
              <w:rPr>
                <w:lang w:val="ru-RU"/>
              </w:rPr>
              <w:t>0</w:t>
            </w:r>
            <w:r w:rsidR="002D0239" w:rsidRPr="00983472">
              <w:rPr>
                <w:lang w:val="ru-RU"/>
              </w:rPr>
              <w:t xml:space="preserve"> см</w:t>
            </w:r>
          </w:p>
          <w:p w:rsidR="00983472" w:rsidRPr="002413ED" w:rsidRDefault="002D0239" w:rsidP="002D0239">
            <w:pPr>
              <w:rPr>
                <w:lang w:val="ru-RU"/>
              </w:rPr>
            </w:pPr>
            <w:r w:rsidRPr="00983472">
              <w:rPr>
                <w:lang w:val="ru-RU"/>
              </w:rPr>
              <w:t xml:space="preserve">Высота: </w:t>
            </w:r>
            <w:r>
              <w:rPr>
                <w:lang w:val="ru-RU"/>
              </w:rPr>
              <w:t>140</w:t>
            </w:r>
            <w:r w:rsidRPr="00983472">
              <w:rPr>
                <w:lang w:val="ru-RU"/>
              </w:rPr>
              <w:t>.0 см</w:t>
            </w:r>
          </w:p>
        </w:tc>
        <w:tc>
          <w:tcPr>
            <w:tcW w:w="1984" w:type="dxa"/>
            <w:vAlign w:val="center"/>
          </w:tcPr>
          <w:p w:rsidR="00983472" w:rsidRPr="00EE0D8D" w:rsidRDefault="00983472" w:rsidP="00983472">
            <w:pPr>
              <w:jc w:val="center"/>
              <w:rPr>
                <w:lang w:val="ru-RU"/>
              </w:rPr>
            </w:pPr>
          </w:p>
        </w:tc>
      </w:tr>
    </w:tbl>
    <w:p w:rsidR="00797792" w:rsidRDefault="00797792" w:rsidP="00071356">
      <w:pPr>
        <w:rPr>
          <w:lang w:val="ru-RU"/>
        </w:rPr>
      </w:pPr>
    </w:p>
    <w:p w:rsidR="000A5B1C" w:rsidRPr="00954544" w:rsidRDefault="000A5B1C" w:rsidP="00071356">
      <w:pPr>
        <w:rPr>
          <w:lang w:val="ru-RU"/>
        </w:rPr>
      </w:pPr>
    </w:p>
    <w:p w:rsidR="00CF6EE8" w:rsidRPr="00954544" w:rsidRDefault="00CF6EE8" w:rsidP="00071356">
      <w:pPr>
        <w:rPr>
          <w:lang w:val="ru-RU"/>
        </w:rPr>
      </w:pPr>
    </w:p>
    <w:p w:rsidR="00174127" w:rsidRPr="00071356" w:rsidRDefault="00174127" w:rsidP="00071356">
      <w:pPr>
        <w:ind w:firstLine="708"/>
        <w:rPr>
          <w:lang w:val="ru-RU"/>
        </w:rPr>
      </w:pPr>
      <w:r w:rsidRPr="00071356">
        <w:rPr>
          <w:lang w:val="ru-RU"/>
        </w:rPr>
        <w:t xml:space="preserve">От имени </w:t>
      </w:r>
      <w:proofErr w:type="gramStart"/>
      <w:r w:rsidRPr="00071356">
        <w:rPr>
          <w:lang w:val="ru-RU"/>
        </w:rPr>
        <w:t>поставщика:_</w:t>
      </w:r>
      <w:proofErr w:type="gramEnd"/>
      <w:r w:rsidRPr="00071356">
        <w:rPr>
          <w:lang w:val="ru-RU"/>
        </w:rPr>
        <w:t>___________________</w:t>
      </w:r>
      <w:r w:rsidRPr="00071356">
        <w:rPr>
          <w:lang w:val="ru-RU"/>
        </w:rPr>
        <w:tab/>
        <w:t>Печать компании: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>Подпись уполномоченного лица: _______________________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 xml:space="preserve">Фамилия и Должность Подписавшего: _________________________ </w:t>
      </w:r>
    </w:p>
    <w:p w:rsidR="00174127" w:rsidRPr="00071356" w:rsidRDefault="00174127" w:rsidP="00071356">
      <w:pPr>
        <w:ind w:firstLine="708"/>
        <w:rPr>
          <w:b/>
          <w:lang w:val="ru-RU"/>
        </w:rPr>
      </w:pPr>
      <w:r w:rsidRPr="00071356">
        <w:rPr>
          <w:lang w:val="ru-RU"/>
        </w:rPr>
        <w:t>Дата: ________________</w:t>
      </w:r>
      <w:r w:rsidRPr="00071356">
        <w:rPr>
          <w:b/>
          <w:lang w:val="ru-RU"/>
        </w:rPr>
        <w:t xml:space="preserve"> </w:t>
      </w:r>
    </w:p>
    <w:p w:rsidR="00174127" w:rsidRPr="00071356" w:rsidRDefault="00174127" w:rsidP="00071356">
      <w:pPr>
        <w:ind w:firstLine="708"/>
        <w:rPr>
          <w:b/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4</w:t>
      </w:r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</w:t>
      </w:r>
      <w:proofErr w:type="gramStart"/>
      <w:r w:rsidR="00174127" w:rsidRPr="00071356">
        <w:rPr>
          <w:lang w:val="ru-RU"/>
        </w:rPr>
        <w:t>соответствии  с</w:t>
      </w:r>
      <w:proofErr w:type="gramEnd"/>
      <w:r w:rsidR="00174127" w:rsidRPr="00071356">
        <w:rPr>
          <w:lang w:val="ru-RU"/>
        </w:rPr>
        <w:t xml:space="preserve">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B5666" w:rsidRDefault="001B5666" w:rsidP="00071356">
      <w:pPr>
        <w:ind w:left="426" w:firstLine="6"/>
        <w:rPr>
          <w:lang w:val="ru-RU"/>
        </w:rPr>
      </w:pPr>
    </w:p>
    <w:p w:rsidR="001B5666" w:rsidRDefault="001B5666" w:rsidP="00071356">
      <w:pPr>
        <w:ind w:left="426" w:firstLine="6"/>
        <w:rPr>
          <w:lang w:val="ru-RU"/>
        </w:rPr>
      </w:pPr>
    </w:p>
    <w:p w:rsidR="00174127" w:rsidRPr="00071356" w:rsidRDefault="00174127" w:rsidP="00071356">
      <w:pPr>
        <w:ind w:left="426" w:firstLine="6"/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Подпись уполномоченного представителя 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Место:</w:t>
      </w:r>
    </w:p>
    <w:p w:rsidR="00174127" w:rsidRPr="00B3568C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Дата:</w:t>
      </w:r>
    </w:p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174127" w:rsidRPr="000D78F5" w:rsidRDefault="00174127" w:rsidP="00071356"/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B75959" w:rsidRPr="001822EC" w:rsidRDefault="00B75959" w:rsidP="00071356">
      <w:pPr>
        <w:jc w:val="both"/>
        <w:rPr>
          <w:lang w:val="ru-RU"/>
        </w:rPr>
      </w:pPr>
    </w:p>
    <w:p w:rsidR="00AD2F0B" w:rsidRPr="005F468D" w:rsidRDefault="00AD2F0B" w:rsidP="00071356">
      <w:pPr>
        <w:jc w:val="center"/>
        <w:rPr>
          <w:lang w:val="ru-RU"/>
        </w:rPr>
      </w:pPr>
    </w:p>
    <w:sectPr w:rsidR="00AD2F0B" w:rsidRPr="005F468D" w:rsidSect="00895DFB">
      <w:headerReference w:type="even" r:id="rId8"/>
      <w:headerReference w:type="first" r:id="rId9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DA" w:rsidRDefault="00376EDA">
      <w:r>
        <w:separator/>
      </w:r>
    </w:p>
  </w:endnote>
  <w:endnote w:type="continuationSeparator" w:id="0">
    <w:p w:rsidR="00376EDA" w:rsidRDefault="0037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DA" w:rsidRDefault="00376EDA">
      <w:r>
        <w:separator/>
      </w:r>
    </w:p>
  </w:footnote>
  <w:footnote w:type="continuationSeparator" w:id="0">
    <w:p w:rsidR="00376EDA" w:rsidRDefault="0037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ED" w:rsidRDefault="002413ED">
    <w:pPr>
      <w:pStyle w:val="a6"/>
      <w:tabs>
        <w:tab w:val="right" w:pos="9090"/>
      </w:tabs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102</w:t>
    </w:r>
    <w:r>
      <w:rPr>
        <w:rStyle w:val="ae"/>
      </w:rPr>
      <w:fldChar w:fldCharType="end"/>
    </w:r>
    <w:r>
      <w:rPr>
        <w:rStyle w:val="ae"/>
      </w:rPr>
      <w:tab/>
      <w:t>Invitation for Bids</w:t>
    </w:r>
  </w:p>
  <w:p w:rsidR="002413ED" w:rsidRDefault="002413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ED" w:rsidRPr="00BE293B" w:rsidRDefault="002413ED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04B6103"/>
    <w:multiLevelType w:val="hybridMultilevel"/>
    <w:tmpl w:val="1222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57E34"/>
    <w:multiLevelType w:val="hybridMultilevel"/>
    <w:tmpl w:val="D8C6D94A"/>
    <w:lvl w:ilvl="0" w:tplc="EAA8E0A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3" w15:restartNumberingAfterBreak="0">
    <w:nsid w:val="6B6E1A6D"/>
    <w:multiLevelType w:val="hybridMultilevel"/>
    <w:tmpl w:val="2FD8C9D8"/>
    <w:lvl w:ilvl="0" w:tplc="EAA8E0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2"/>
  </w:num>
  <w:num w:numId="5">
    <w:abstractNumId w:val="26"/>
  </w:num>
  <w:num w:numId="6">
    <w:abstractNumId w:val="20"/>
  </w:num>
  <w:num w:numId="7">
    <w:abstractNumId w:val="34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31"/>
  </w:num>
  <w:num w:numId="18">
    <w:abstractNumId w:val="30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5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 w:numId="34">
    <w:abstractNumId w:val="28"/>
  </w:num>
  <w:num w:numId="35">
    <w:abstractNumId w:val="33"/>
  </w:num>
  <w:num w:numId="36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1E83"/>
    <w:rsid w:val="00004E11"/>
    <w:rsid w:val="000053C8"/>
    <w:rsid w:val="00012955"/>
    <w:rsid w:val="00013982"/>
    <w:rsid w:val="00017CCA"/>
    <w:rsid w:val="000207CF"/>
    <w:rsid w:val="000207E1"/>
    <w:rsid w:val="00021F4B"/>
    <w:rsid w:val="00034487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5B1C"/>
    <w:rsid w:val="000A7AC4"/>
    <w:rsid w:val="000B238F"/>
    <w:rsid w:val="000B44C2"/>
    <w:rsid w:val="000C1239"/>
    <w:rsid w:val="000C130A"/>
    <w:rsid w:val="000D53A0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05AE"/>
    <w:rsid w:val="00131C69"/>
    <w:rsid w:val="0013314A"/>
    <w:rsid w:val="00133B6A"/>
    <w:rsid w:val="00137841"/>
    <w:rsid w:val="0014407A"/>
    <w:rsid w:val="00150E6B"/>
    <w:rsid w:val="00160419"/>
    <w:rsid w:val="00163934"/>
    <w:rsid w:val="00174127"/>
    <w:rsid w:val="00180F55"/>
    <w:rsid w:val="00181889"/>
    <w:rsid w:val="00181D6F"/>
    <w:rsid w:val="0018678D"/>
    <w:rsid w:val="00186C54"/>
    <w:rsid w:val="00192FE4"/>
    <w:rsid w:val="001943CA"/>
    <w:rsid w:val="001A3935"/>
    <w:rsid w:val="001A6BFC"/>
    <w:rsid w:val="001B21BA"/>
    <w:rsid w:val="001B5666"/>
    <w:rsid w:val="001C1E65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3A79"/>
    <w:rsid w:val="002362E7"/>
    <w:rsid w:val="00237CE9"/>
    <w:rsid w:val="002413ED"/>
    <w:rsid w:val="0025103A"/>
    <w:rsid w:val="00252833"/>
    <w:rsid w:val="0025457A"/>
    <w:rsid w:val="00256DF0"/>
    <w:rsid w:val="00264AD4"/>
    <w:rsid w:val="00270545"/>
    <w:rsid w:val="00272CF3"/>
    <w:rsid w:val="00276FA9"/>
    <w:rsid w:val="002807F5"/>
    <w:rsid w:val="002829F4"/>
    <w:rsid w:val="002844EF"/>
    <w:rsid w:val="002858F9"/>
    <w:rsid w:val="00286DB2"/>
    <w:rsid w:val="00287ACB"/>
    <w:rsid w:val="002A6EC3"/>
    <w:rsid w:val="002C0F87"/>
    <w:rsid w:val="002C12C0"/>
    <w:rsid w:val="002C2946"/>
    <w:rsid w:val="002C3476"/>
    <w:rsid w:val="002C57A1"/>
    <w:rsid w:val="002C5F21"/>
    <w:rsid w:val="002C628A"/>
    <w:rsid w:val="002D0239"/>
    <w:rsid w:val="002D0A3F"/>
    <w:rsid w:val="002D482D"/>
    <w:rsid w:val="002D53A1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6A9"/>
    <w:rsid w:val="00353DF8"/>
    <w:rsid w:val="00354C3C"/>
    <w:rsid w:val="003709A8"/>
    <w:rsid w:val="00374E80"/>
    <w:rsid w:val="003755E8"/>
    <w:rsid w:val="00376A53"/>
    <w:rsid w:val="00376EDA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14FB"/>
    <w:rsid w:val="003E3F65"/>
    <w:rsid w:val="003E7CEA"/>
    <w:rsid w:val="003F101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3EB8"/>
    <w:rsid w:val="004642B7"/>
    <w:rsid w:val="0046462F"/>
    <w:rsid w:val="00464B42"/>
    <w:rsid w:val="00466E02"/>
    <w:rsid w:val="0046796A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415C"/>
    <w:rsid w:val="004D5017"/>
    <w:rsid w:val="004D7390"/>
    <w:rsid w:val="004D7A9D"/>
    <w:rsid w:val="004D7B6E"/>
    <w:rsid w:val="004F6174"/>
    <w:rsid w:val="00501892"/>
    <w:rsid w:val="00502636"/>
    <w:rsid w:val="00510B32"/>
    <w:rsid w:val="00521A1B"/>
    <w:rsid w:val="00521B36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0652"/>
    <w:rsid w:val="005F21B5"/>
    <w:rsid w:val="005F2379"/>
    <w:rsid w:val="005F2DA8"/>
    <w:rsid w:val="005F468D"/>
    <w:rsid w:val="00600201"/>
    <w:rsid w:val="006028B6"/>
    <w:rsid w:val="006042DB"/>
    <w:rsid w:val="0060494A"/>
    <w:rsid w:val="006050C3"/>
    <w:rsid w:val="006112A8"/>
    <w:rsid w:val="006116DE"/>
    <w:rsid w:val="00612C94"/>
    <w:rsid w:val="00623F02"/>
    <w:rsid w:val="00624799"/>
    <w:rsid w:val="00625E6C"/>
    <w:rsid w:val="00627833"/>
    <w:rsid w:val="00631EF8"/>
    <w:rsid w:val="00632BE6"/>
    <w:rsid w:val="00640AE5"/>
    <w:rsid w:val="006465B8"/>
    <w:rsid w:val="0065217C"/>
    <w:rsid w:val="006576D4"/>
    <w:rsid w:val="006578D0"/>
    <w:rsid w:val="006605C1"/>
    <w:rsid w:val="00661ABF"/>
    <w:rsid w:val="00662CE3"/>
    <w:rsid w:val="006651FF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72AE"/>
    <w:rsid w:val="00703D2D"/>
    <w:rsid w:val="00707DA6"/>
    <w:rsid w:val="007114A7"/>
    <w:rsid w:val="007146D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5419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82E04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166C9"/>
    <w:rsid w:val="00937F37"/>
    <w:rsid w:val="00937F3C"/>
    <w:rsid w:val="00946242"/>
    <w:rsid w:val="0095223B"/>
    <w:rsid w:val="00954544"/>
    <w:rsid w:val="00967084"/>
    <w:rsid w:val="009712C9"/>
    <w:rsid w:val="00974C25"/>
    <w:rsid w:val="009818A4"/>
    <w:rsid w:val="00983472"/>
    <w:rsid w:val="0098799E"/>
    <w:rsid w:val="00991E47"/>
    <w:rsid w:val="00991F24"/>
    <w:rsid w:val="00994A22"/>
    <w:rsid w:val="00995964"/>
    <w:rsid w:val="009A147E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2B09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087B"/>
    <w:rsid w:val="00AF3881"/>
    <w:rsid w:val="00AF6D27"/>
    <w:rsid w:val="00B02723"/>
    <w:rsid w:val="00B14263"/>
    <w:rsid w:val="00B15519"/>
    <w:rsid w:val="00B16A06"/>
    <w:rsid w:val="00B17E10"/>
    <w:rsid w:val="00B207EA"/>
    <w:rsid w:val="00B23B86"/>
    <w:rsid w:val="00B25F82"/>
    <w:rsid w:val="00B40162"/>
    <w:rsid w:val="00B40F26"/>
    <w:rsid w:val="00B61138"/>
    <w:rsid w:val="00B70257"/>
    <w:rsid w:val="00B75959"/>
    <w:rsid w:val="00B75D73"/>
    <w:rsid w:val="00B81225"/>
    <w:rsid w:val="00B82E6B"/>
    <w:rsid w:val="00B83A0B"/>
    <w:rsid w:val="00B87E0E"/>
    <w:rsid w:val="00B96137"/>
    <w:rsid w:val="00BA3251"/>
    <w:rsid w:val="00BB067F"/>
    <w:rsid w:val="00BB0827"/>
    <w:rsid w:val="00BB66A5"/>
    <w:rsid w:val="00BC3378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BF6295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1A52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0FDD"/>
    <w:rsid w:val="00D765CD"/>
    <w:rsid w:val="00D7729F"/>
    <w:rsid w:val="00DA09D4"/>
    <w:rsid w:val="00DA3380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32FC0"/>
    <w:rsid w:val="00E45ABB"/>
    <w:rsid w:val="00E4614A"/>
    <w:rsid w:val="00E50CA7"/>
    <w:rsid w:val="00E5257D"/>
    <w:rsid w:val="00E54843"/>
    <w:rsid w:val="00E56FBB"/>
    <w:rsid w:val="00E716D0"/>
    <w:rsid w:val="00E73BDD"/>
    <w:rsid w:val="00E74394"/>
    <w:rsid w:val="00E82CD0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0EB4"/>
    <w:rsid w:val="00ED1E18"/>
    <w:rsid w:val="00ED1EC9"/>
    <w:rsid w:val="00ED76AA"/>
    <w:rsid w:val="00ED7F08"/>
    <w:rsid w:val="00EE0D8D"/>
    <w:rsid w:val="00EE1686"/>
    <w:rsid w:val="00EE5655"/>
    <w:rsid w:val="00EF3255"/>
    <w:rsid w:val="00EF59A1"/>
    <w:rsid w:val="00F05F21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6382E"/>
    <w:rsid w:val="00F7226A"/>
    <w:rsid w:val="00F746EE"/>
    <w:rsid w:val="00F75B65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240F-C5F6-4F4C-AC34-59A49071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7181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52</cp:revision>
  <cp:lastPrinted>2013-02-18T04:22:00Z</cp:lastPrinted>
  <dcterms:created xsi:type="dcterms:W3CDTF">2014-10-29T10:18:00Z</dcterms:created>
  <dcterms:modified xsi:type="dcterms:W3CDTF">2016-06-28T05:27:00Z</dcterms:modified>
</cp:coreProperties>
</file>